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33E5B0" w14:textId="77777777" w:rsidR="00CD1569" w:rsidRPr="0095398A" w:rsidRDefault="00CD1569" w:rsidP="00CD1569">
      <w:pPr>
        <w:shd w:val="pct12" w:color="000000" w:fill="FFFFFF"/>
        <w:jc w:val="center"/>
        <w:rPr>
          <w:rFonts w:ascii="Calibri" w:eastAsia="Calibri" w:hAnsi="Calibri" w:cs="Times New Roman"/>
          <w:caps/>
          <w:sz w:val="28"/>
          <w:lang w:val="en-IE"/>
        </w:rPr>
      </w:pPr>
      <w:bookmarkStart w:id="0" w:name="_GoBack"/>
      <w:bookmarkEnd w:id="0"/>
      <w:r w:rsidRPr="0095398A">
        <w:rPr>
          <w:rFonts w:ascii="Calibri" w:eastAsia="Calibri" w:hAnsi="Calibri" w:cs="Times New Roman"/>
          <w:caps/>
          <w:sz w:val="28"/>
          <w:lang w:val="en-IE"/>
        </w:rPr>
        <w:t>expert Group ON THE BirdS and habitats DIRECTIVES</w:t>
      </w:r>
      <w:r w:rsidR="00C27513" w:rsidRPr="0095398A">
        <w:rPr>
          <w:rFonts w:ascii="Calibri" w:eastAsia="Calibri" w:hAnsi="Calibri" w:cs="Times New Roman"/>
          <w:caps/>
          <w:sz w:val="28"/>
          <w:lang w:val="en-IE"/>
        </w:rPr>
        <w:t xml:space="preserve"> ("NADEG")</w:t>
      </w:r>
    </w:p>
    <w:p w14:paraId="50FF5C8A" w14:textId="77777777" w:rsidR="0095398A" w:rsidRDefault="0095398A" w:rsidP="0095398A">
      <w:pPr>
        <w:tabs>
          <w:tab w:val="center" w:pos="4513"/>
          <w:tab w:val="right" w:pos="9026"/>
        </w:tabs>
        <w:spacing w:before="120" w:after="120"/>
        <w:rPr>
          <w:rFonts w:ascii="Times New Roman" w:eastAsia="Calibri" w:hAnsi="Times New Roman" w:cs="Times New Roman"/>
          <w:i/>
          <w:sz w:val="24"/>
          <w:szCs w:val="24"/>
        </w:rPr>
      </w:pPr>
    </w:p>
    <w:p w14:paraId="37C29EC3" w14:textId="6508B008" w:rsidR="009E6F8D" w:rsidRPr="009E6F8D" w:rsidRDefault="009E6F8D" w:rsidP="009E6F8D">
      <w:pPr>
        <w:pBdr>
          <w:top w:val="single" w:sz="4" w:space="1" w:color="auto"/>
          <w:left w:val="single" w:sz="4" w:space="4" w:color="auto"/>
          <w:bottom w:val="single" w:sz="4" w:space="1" w:color="auto"/>
          <w:right w:val="single" w:sz="4" w:space="14" w:color="auto"/>
        </w:pBdr>
        <w:tabs>
          <w:tab w:val="right" w:pos="4111"/>
          <w:tab w:val="center" w:pos="4513"/>
        </w:tabs>
        <w:spacing w:before="120" w:after="120" w:line="240" w:lineRule="auto"/>
        <w:ind w:right="4915"/>
        <w:rPr>
          <w:rFonts w:ascii="Times New Roman" w:eastAsia="Calibri" w:hAnsi="Times New Roman" w:cs="Times New Roman"/>
        </w:rPr>
      </w:pPr>
      <w:r w:rsidRPr="009E6F8D">
        <w:rPr>
          <w:rFonts w:ascii="Times New Roman" w:eastAsia="Calibri" w:hAnsi="Times New Roman" w:cs="Times New Roman"/>
          <w:i/>
        </w:rPr>
        <w:t>14</w:t>
      </w:r>
      <w:r w:rsidRPr="009E6F8D">
        <w:rPr>
          <w:rFonts w:ascii="Times New Roman" w:eastAsia="Calibri" w:hAnsi="Times New Roman" w:cs="Times New Roman"/>
          <w:i/>
          <w:vertAlign w:val="superscript"/>
        </w:rPr>
        <w:t>th</w:t>
      </w:r>
      <w:r w:rsidRPr="009E6F8D">
        <w:rPr>
          <w:rFonts w:ascii="Times New Roman" w:eastAsia="Calibri" w:hAnsi="Times New Roman" w:cs="Times New Roman"/>
          <w:i/>
        </w:rPr>
        <w:t xml:space="preserve"> Meeting, 6-7 May 2020</w:t>
      </w:r>
      <w:r w:rsidRPr="009E6F8D">
        <w:rPr>
          <w:rFonts w:ascii="Times New Roman" w:eastAsia="Calibri" w:hAnsi="Times New Roman" w:cs="Times New Roman"/>
          <w:i/>
        </w:rPr>
        <w:br/>
        <w:t>Document N°: Doc Nadeg 20-05-</w:t>
      </w:r>
      <w:r w:rsidR="00B4090F">
        <w:rPr>
          <w:rFonts w:ascii="Times New Roman" w:eastAsia="Calibri" w:hAnsi="Times New Roman" w:cs="Times New Roman"/>
          <w:i/>
        </w:rPr>
        <w:t>03</w:t>
      </w:r>
    </w:p>
    <w:p w14:paraId="356AB6E5" w14:textId="77777777" w:rsidR="0095398A" w:rsidRPr="0095398A" w:rsidRDefault="0095398A" w:rsidP="0095398A">
      <w:pPr>
        <w:tabs>
          <w:tab w:val="right" w:pos="4111"/>
          <w:tab w:val="center" w:pos="4513"/>
        </w:tabs>
        <w:spacing w:before="120" w:after="120"/>
        <w:rPr>
          <w:rFonts w:ascii="Times New Roman" w:eastAsia="Calibri" w:hAnsi="Times New Roman" w:cs="Times New Roman"/>
          <w:sz w:val="24"/>
          <w:szCs w:val="24"/>
        </w:rPr>
      </w:pPr>
    </w:p>
    <w:p w14:paraId="59F74309" w14:textId="4A495B29" w:rsidR="007D7601" w:rsidRPr="0095398A" w:rsidRDefault="002F1230" w:rsidP="0095398A">
      <w:pPr>
        <w:spacing w:before="120" w:after="120"/>
        <w:jc w:val="center"/>
        <w:rPr>
          <w:rFonts w:ascii="Times New Roman" w:hAnsi="Times New Roman" w:cs="Times New Roman"/>
          <w:b/>
          <w:i/>
          <w:sz w:val="24"/>
          <w:szCs w:val="24"/>
          <w:u w:val="single"/>
        </w:rPr>
      </w:pPr>
      <w:r>
        <w:rPr>
          <w:rFonts w:ascii="Times New Roman" w:hAnsi="Times New Roman" w:cs="Times New Roman"/>
          <w:b/>
          <w:i/>
          <w:sz w:val="24"/>
          <w:szCs w:val="24"/>
          <w:u w:val="single"/>
        </w:rPr>
        <w:t>Information</w:t>
      </w:r>
      <w:r w:rsidRPr="00F66CEF">
        <w:rPr>
          <w:rFonts w:ascii="Times New Roman" w:hAnsi="Times New Roman" w:cs="Times New Roman"/>
          <w:b/>
          <w:i/>
          <w:sz w:val="24"/>
          <w:szCs w:val="24"/>
          <w:u w:val="single"/>
        </w:rPr>
        <w:t xml:space="preserve"> </w:t>
      </w:r>
      <w:r w:rsidR="0095398A" w:rsidRPr="00F66CEF">
        <w:rPr>
          <w:rFonts w:ascii="Times New Roman" w:hAnsi="Times New Roman" w:cs="Times New Roman"/>
          <w:b/>
          <w:i/>
          <w:sz w:val="24"/>
          <w:szCs w:val="24"/>
          <w:u w:val="single"/>
        </w:rPr>
        <w:t>Paper</w:t>
      </w:r>
      <w:r w:rsidR="00A3390F" w:rsidRPr="00F66CEF">
        <w:rPr>
          <w:rFonts w:ascii="Times New Roman" w:hAnsi="Times New Roman" w:cs="Times New Roman"/>
          <w:b/>
          <w:i/>
          <w:sz w:val="24"/>
          <w:szCs w:val="24"/>
        </w:rPr>
        <w:t xml:space="preserve"> </w:t>
      </w:r>
    </w:p>
    <w:p w14:paraId="7DD393EC" w14:textId="77777777" w:rsidR="0095398A" w:rsidRDefault="0095398A" w:rsidP="0095398A">
      <w:pPr>
        <w:spacing w:before="120" w:after="120"/>
        <w:rPr>
          <w:rFonts w:ascii="Times New Roman" w:hAnsi="Times New Roman" w:cs="Times New Roman"/>
          <w:b/>
          <w:i/>
          <w:sz w:val="24"/>
          <w:szCs w:val="24"/>
        </w:rPr>
      </w:pPr>
    </w:p>
    <w:p w14:paraId="38DEB4E7" w14:textId="44D715FB" w:rsidR="0095398A" w:rsidRPr="0095398A" w:rsidRDefault="0095398A" w:rsidP="0095398A">
      <w:pPr>
        <w:spacing w:before="120" w:after="120"/>
        <w:rPr>
          <w:rFonts w:ascii="Times New Roman" w:hAnsi="Times New Roman" w:cs="Times New Roman"/>
          <w:b/>
          <w:i/>
          <w:sz w:val="24"/>
          <w:szCs w:val="24"/>
        </w:rPr>
      </w:pPr>
      <w:r>
        <w:rPr>
          <w:rFonts w:ascii="Times New Roman" w:hAnsi="Times New Roman" w:cs="Times New Roman"/>
          <w:b/>
          <w:i/>
          <w:sz w:val="24"/>
          <w:szCs w:val="24"/>
        </w:rPr>
        <w:t xml:space="preserve">Subject: </w:t>
      </w:r>
      <w:r w:rsidR="008D0564">
        <w:rPr>
          <w:rFonts w:ascii="Times New Roman" w:hAnsi="Times New Roman" w:cs="Times New Roman"/>
          <w:b/>
          <w:i/>
          <w:sz w:val="24"/>
          <w:szCs w:val="24"/>
        </w:rPr>
        <w:tab/>
      </w:r>
      <w:r w:rsidR="00034544">
        <w:rPr>
          <w:rFonts w:ascii="Times New Roman" w:hAnsi="Times New Roman" w:cs="Times New Roman"/>
          <w:b/>
          <w:i/>
          <w:sz w:val="24"/>
          <w:szCs w:val="24"/>
        </w:rPr>
        <w:t>Work</w:t>
      </w:r>
      <w:r w:rsidR="004A602C">
        <w:rPr>
          <w:rFonts w:ascii="Times New Roman" w:hAnsi="Times New Roman" w:cs="Times New Roman"/>
          <w:b/>
          <w:i/>
          <w:sz w:val="24"/>
          <w:szCs w:val="24"/>
        </w:rPr>
        <w:t xml:space="preserve"> on lead in </w:t>
      </w:r>
      <w:r w:rsidR="00C92FEE">
        <w:rPr>
          <w:rFonts w:ascii="Times New Roman" w:hAnsi="Times New Roman" w:cs="Times New Roman"/>
          <w:b/>
          <w:i/>
          <w:sz w:val="24"/>
          <w:szCs w:val="24"/>
        </w:rPr>
        <w:t xml:space="preserve">ammunition </w:t>
      </w:r>
    </w:p>
    <w:p w14:paraId="3E882B91" w14:textId="02320739" w:rsidR="002F1230" w:rsidRPr="002F1230" w:rsidRDefault="002F1230" w:rsidP="002F1230">
      <w:pPr>
        <w:suppressAutoHyphens/>
        <w:autoSpaceDN w:val="0"/>
        <w:spacing w:before="120" w:after="120" w:line="240" w:lineRule="auto"/>
        <w:jc w:val="both"/>
        <w:textAlignment w:val="baseline"/>
        <w:rPr>
          <w:rFonts w:ascii="Times New Roman" w:hAnsi="Times New Roman" w:cs="Times New Roman"/>
          <w:color w:val="000000" w:themeColor="text1"/>
          <w:sz w:val="24"/>
          <w:szCs w:val="24"/>
        </w:rPr>
      </w:pPr>
      <w:r w:rsidRPr="002F1230">
        <w:rPr>
          <w:rFonts w:ascii="Times New Roman" w:hAnsi="Times New Roman" w:cs="Times New Roman"/>
          <w:color w:val="000000" w:themeColor="text1"/>
          <w:sz w:val="24"/>
          <w:szCs w:val="24"/>
        </w:rPr>
        <w:t>The EU and the 2</w:t>
      </w:r>
      <w:r w:rsidR="00F8155C">
        <w:rPr>
          <w:rFonts w:ascii="Times New Roman" w:hAnsi="Times New Roman" w:cs="Times New Roman"/>
          <w:color w:val="000000" w:themeColor="text1"/>
          <w:sz w:val="24"/>
          <w:szCs w:val="24"/>
        </w:rPr>
        <w:t>3</w:t>
      </w:r>
      <w:r w:rsidRPr="002F1230">
        <w:rPr>
          <w:rFonts w:ascii="Times New Roman" w:hAnsi="Times New Roman" w:cs="Times New Roman"/>
          <w:color w:val="000000" w:themeColor="text1"/>
          <w:sz w:val="24"/>
          <w:szCs w:val="24"/>
        </w:rPr>
        <w:t xml:space="preserve"> Member States that are contracting parties to </w:t>
      </w:r>
      <w:r w:rsidR="004A602C">
        <w:rPr>
          <w:rFonts w:ascii="Times New Roman" w:hAnsi="Times New Roman" w:cs="Times New Roman"/>
          <w:color w:val="000000" w:themeColor="text1"/>
          <w:sz w:val="24"/>
          <w:szCs w:val="24"/>
        </w:rPr>
        <w:t xml:space="preserve">the Agreement for the Conservation of African Eurasian Waterbirds </w:t>
      </w:r>
      <w:r w:rsidRPr="002F1230">
        <w:rPr>
          <w:rFonts w:ascii="Times New Roman" w:hAnsi="Times New Roman" w:cs="Times New Roman"/>
          <w:color w:val="000000" w:themeColor="text1"/>
          <w:sz w:val="24"/>
          <w:szCs w:val="24"/>
        </w:rPr>
        <w:t xml:space="preserve">have committed to endeavouring phasing out the use of lead shot in wetlands. Furthermore, phasing out the use of lead shot in wetlands is one of the points addressed in the agreement signed in 2004 by BirdLife International and FACE (Federation of Associations for Hunting and Conservation in the EU) under the auspices of the Commission. </w:t>
      </w:r>
    </w:p>
    <w:p w14:paraId="5DFF9091" w14:textId="0F066456" w:rsidR="002F1230" w:rsidRPr="008A4B89" w:rsidRDefault="002F1230" w:rsidP="002F1230">
      <w:pPr>
        <w:jc w:val="both"/>
        <w:rPr>
          <w:rFonts w:ascii="Times New Roman" w:hAnsi="Times New Roman" w:cs="Times New Roman"/>
          <w:iCs/>
          <w:color w:val="000000" w:themeColor="text1"/>
          <w:sz w:val="24"/>
          <w:szCs w:val="24"/>
        </w:rPr>
      </w:pPr>
      <w:r w:rsidRPr="008A4B89">
        <w:rPr>
          <w:rFonts w:ascii="Times New Roman" w:hAnsi="Times New Roman" w:cs="Times New Roman"/>
          <w:iCs/>
          <w:color w:val="000000" w:themeColor="text1"/>
          <w:sz w:val="24"/>
          <w:szCs w:val="24"/>
        </w:rPr>
        <w:t>In December 2015</w:t>
      </w:r>
      <w:r w:rsidR="004A602C" w:rsidRPr="008A4B89">
        <w:rPr>
          <w:rFonts w:ascii="Times New Roman" w:hAnsi="Times New Roman" w:cs="Times New Roman"/>
          <w:iCs/>
          <w:color w:val="000000" w:themeColor="text1"/>
          <w:sz w:val="24"/>
          <w:szCs w:val="24"/>
        </w:rPr>
        <w:t>,</w:t>
      </w:r>
      <w:r w:rsidRPr="008A4B89">
        <w:rPr>
          <w:rFonts w:ascii="Times New Roman" w:hAnsi="Times New Roman" w:cs="Times New Roman"/>
          <w:iCs/>
          <w:color w:val="000000" w:themeColor="text1"/>
          <w:sz w:val="24"/>
          <w:szCs w:val="24"/>
        </w:rPr>
        <w:t xml:space="preserve"> the Commission requested ECHA to prepare a dossier in accordance with Annex XV of </w:t>
      </w:r>
      <w:r w:rsidR="00213DC4" w:rsidRPr="008A4B89">
        <w:rPr>
          <w:rFonts w:ascii="Times New Roman" w:hAnsi="Times New Roman" w:cs="Times New Roman"/>
          <w:iCs/>
          <w:color w:val="000000" w:themeColor="text1"/>
          <w:sz w:val="24"/>
          <w:szCs w:val="24"/>
        </w:rPr>
        <w:t xml:space="preserve">the Regulation </w:t>
      </w:r>
      <w:r w:rsidR="008A4B89" w:rsidRPr="008A4B89">
        <w:rPr>
          <w:rFonts w:ascii="Times New Roman" w:hAnsi="Times New Roman" w:cs="Times New Roman"/>
          <w:iCs/>
          <w:color w:val="000000" w:themeColor="text1"/>
          <w:sz w:val="24"/>
          <w:szCs w:val="24"/>
        </w:rPr>
        <w:t xml:space="preserve">(EC) N° 1907/2006 </w:t>
      </w:r>
      <w:r w:rsidR="00763ED9" w:rsidRPr="008A4B89">
        <w:rPr>
          <w:rFonts w:ascii="Times New Roman" w:hAnsi="Times New Roman" w:cs="Times New Roman"/>
          <w:iCs/>
          <w:color w:val="000000" w:themeColor="text1"/>
          <w:sz w:val="24"/>
          <w:szCs w:val="24"/>
        </w:rPr>
        <w:t xml:space="preserve">on </w:t>
      </w:r>
      <w:r w:rsidR="00763ED9" w:rsidRPr="008A4B89">
        <w:rPr>
          <w:rFonts w:ascii="Times New Roman" w:hAnsi="Times New Roman" w:cs="Times New Roman"/>
          <w:sz w:val="24"/>
          <w:szCs w:val="24"/>
        </w:rPr>
        <w:t>Registration, Evaluation, Authorisation and Restriction of Chemicals</w:t>
      </w:r>
      <w:r w:rsidR="00763ED9" w:rsidRPr="008A4B89">
        <w:rPr>
          <w:rFonts w:ascii="Times New Roman" w:hAnsi="Times New Roman" w:cs="Times New Roman"/>
          <w:iCs/>
          <w:color w:val="000000" w:themeColor="text1"/>
          <w:sz w:val="24"/>
          <w:szCs w:val="24"/>
        </w:rPr>
        <w:t xml:space="preserve"> </w:t>
      </w:r>
      <w:r w:rsidR="008A4B89" w:rsidRPr="008A4B89">
        <w:rPr>
          <w:rFonts w:ascii="Times New Roman" w:hAnsi="Times New Roman" w:cs="Times New Roman"/>
          <w:iCs/>
          <w:color w:val="000000" w:themeColor="text1"/>
          <w:sz w:val="24"/>
          <w:szCs w:val="24"/>
        </w:rPr>
        <w:t xml:space="preserve">(REACH) </w:t>
      </w:r>
      <w:r w:rsidRPr="008A4B89">
        <w:rPr>
          <w:rFonts w:ascii="Times New Roman" w:hAnsi="Times New Roman" w:cs="Times New Roman"/>
          <w:iCs/>
          <w:color w:val="000000" w:themeColor="text1"/>
          <w:sz w:val="24"/>
          <w:szCs w:val="24"/>
        </w:rPr>
        <w:t>for a potential</w:t>
      </w:r>
      <w:r w:rsidR="00213DC4" w:rsidRPr="008A4B89">
        <w:rPr>
          <w:rFonts w:ascii="Times New Roman" w:hAnsi="Times New Roman" w:cs="Times New Roman"/>
          <w:iCs/>
          <w:color w:val="000000" w:themeColor="text1"/>
          <w:sz w:val="24"/>
          <w:szCs w:val="24"/>
        </w:rPr>
        <w:t xml:space="preserve"> </w:t>
      </w:r>
      <w:r w:rsidR="00085D50" w:rsidRPr="008A4B89">
        <w:rPr>
          <w:rFonts w:ascii="Times New Roman" w:hAnsi="Times New Roman" w:cs="Times New Roman"/>
          <w:iCs/>
          <w:color w:val="000000" w:themeColor="text1"/>
          <w:sz w:val="24"/>
          <w:szCs w:val="24"/>
        </w:rPr>
        <w:t xml:space="preserve">future </w:t>
      </w:r>
      <w:r w:rsidRPr="008A4B89">
        <w:rPr>
          <w:rFonts w:ascii="Times New Roman" w:hAnsi="Times New Roman" w:cs="Times New Roman"/>
          <w:iCs/>
          <w:color w:val="000000" w:themeColor="text1"/>
          <w:sz w:val="24"/>
          <w:szCs w:val="24"/>
        </w:rPr>
        <w:t xml:space="preserve">restriction of the use of lead shots in wetlands across the European Union. The dossier includes a risk assessment, an analysis of alternatives and a socio-economic assessment. </w:t>
      </w:r>
    </w:p>
    <w:p w14:paraId="15B94AA4" w14:textId="0C06BF16" w:rsidR="00C42DB8" w:rsidRPr="00C42DB8" w:rsidRDefault="00C42DB8" w:rsidP="00C42DB8">
      <w:pPr>
        <w:jc w:val="both"/>
        <w:rPr>
          <w:rFonts w:ascii="Times New Roman" w:eastAsia="Times New Roman" w:hAnsi="Times New Roman" w:cs="Times New Roman"/>
          <w:sz w:val="24"/>
          <w:szCs w:val="20"/>
        </w:rPr>
      </w:pPr>
      <w:r>
        <w:rPr>
          <w:rFonts w:ascii="Times New Roman" w:hAnsi="Times New Roman" w:cs="Times New Roman"/>
          <w:iCs/>
          <w:color w:val="000000" w:themeColor="text1"/>
          <w:sz w:val="24"/>
          <w:szCs w:val="24"/>
        </w:rPr>
        <w:t>T</w:t>
      </w:r>
      <w:r w:rsidRPr="00C42DB8">
        <w:rPr>
          <w:rFonts w:ascii="Times New Roman" w:eastAsia="Times New Roman" w:hAnsi="Times New Roman" w:cs="Times New Roman"/>
          <w:sz w:val="24"/>
          <w:szCs w:val="20"/>
        </w:rPr>
        <w:t>he Agency’s Committees for Risk Assessment (RAC) and Socio-Economic Analysis (SEAC) opinion</w:t>
      </w:r>
      <w:r>
        <w:rPr>
          <w:rStyle w:val="FootnoteReference"/>
          <w:rFonts w:ascii="Times New Roman" w:eastAsia="Times New Roman" w:hAnsi="Times New Roman" w:cs="Times New Roman"/>
          <w:sz w:val="24"/>
          <w:szCs w:val="20"/>
        </w:rPr>
        <w:footnoteReference w:id="1"/>
      </w:r>
      <w:r w:rsidRPr="00C42DB8">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was</w:t>
      </w:r>
      <w:r w:rsidRPr="00C42DB8">
        <w:rPr>
          <w:rFonts w:ascii="Times New Roman" w:eastAsia="Times New Roman" w:hAnsi="Times New Roman" w:cs="Times New Roman"/>
          <w:sz w:val="24"/>
          <w:szCs w:val="20"/>
        </w:rPr>
        <w:t xml:space="preserve"> sent to the Commission on 17 August 2018. </w:t>
      </w:r>
    </w:p>
    <w:p w14:paraId="58F03463" w14:textId="77777777" w:rsidR="0040659B" w:rsidRDefault="0040659B" w:rsidP="0040659B">
      <w:pPr>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A</w:t>
      </w:r>
      <w:r w:rsidRPr="002F1230">
        <w:rPr>
          <w:rFonts w:ascii="Times New Roman" w:hAnsi="Times New Roman" w:cs="Times New Roman"/>
          <w:iCs/>
          <w:color w:val="000000" w:themeColor="text1"/>
          <w:sz w:val="24"/>
          <w:szCs w:val="24"/>
        </w:rPr>
        <w:t>ll documents are available on the ECHA website</w:t>
      </w:r>
      <w:r w:rsidRPr="002F1230">
        <w:rPr>
          <w:rStyle w:val="FootnoteReference"/>
          <w:rFonts w:ascii="Times New Roman" w:hAnsi="Times New Roman" w:cs="Times New Roman"/>
          <w:iCs/>
          <w:color w:val="000000" w:themeColor="text1"/>
          <w:sz w:val="24"/>
          <w:szCs w:val="24"/>
        </w:rPr>
        <w:footnoteReference w:id="2"/>
      </w:r>
      <w:r w:rsidRPr="002F1230">
        <w:rPr>
          <w:rFonts w:ascii="Times New Roman" w:hAnsi="Times New Roman" w:cs="Times New Roman"/>
          <w:iCs/>
          <w:color w:val="000000" w:themeColor="text1"/>
          <w:sz w:val="24"/>
          <w:szCs w:val="24"/>
        </w:rPr>
        <w:t xml:space="preserve"> for consultation.</w:t>
      </w:r>
      <w:r>
        <w:rPr>
          <w:rFonts w:ascii="Times New Roman" w:hAnsi="Times New Roman" w:cs="Times New Roman"/>
          <w:iCs/>
          <w:color w:val="000000" w:themeColor="text1"/>
          <w:sz w:val="24"/>
          <w:szCs w:val="24"/>
        </w:rPr>
        <w:t xml:space="preserve"> </w:t>
      </w:r>
    </w:p>
    <w:p w14:paraId="00713EA3" w14:textId="77777777" w:rsidR="00C42DB8" w:rsidRPr="00C42DB8" w:rsidRDefault="00C42DB8" w:rsidP="00C42DB8">
      <w:pPr>
        <w:spacing w:after="240" w:line="240" w:lineRule="auto"/>
        <w:jc w:val="both"/>
        <w:rPr>
          <w:rFonts w:ascii="Times New Roman" w:eastAsia="Times New Roman" w:hAnsi="Times New Roman" w:cs="Times New Roman"/>
          <w:sz w:val="24"/>
          <w:szCs w:val="20"/>
        </w:rPr>
      </w:pPr>
      <w:r w:rsidRPr="00C42DB8">
        <w:rPr>
          <w:rFonts w:ascii="Times New Roman" w:eastAsia="Times New Roman" w:hAnsi="Times New Roman" w:cs="Times New Roman"/>
          <w:sz w:val="24"/>
          <w:szCs w:val="20"/>
        </w:rPr>
        <w:t xml:space="preserve">Based on the opinions of RAC and SEAC, the Commission considers that there is an unacceptable risk to the environment as well as a possible risk to human health from the use of lead in gunshot in wetlands and </w:t>
      </w:r>
      <w:r w:rsidRPr="00C42DB8">
        <w:rPr>
          <w:rFonts w:ascii="Times New Roman" w:eastAsia="Times New Roman" w:hAnsi="Times New Roman" w:cs="Times New Roman"/>
          <w:bCs/>
          <w:sz w:val="24"/>
          <w:szCs w:val="24"/>
          <w:lang w:eastAsia="en-GB"/>
        </w:rPr>
        <w:t>where spent gunshot would land within wetlands,</w:t>
      </w:r>
      <w:r w:rsidRPr="00C42DB8">
        <w:rPr>
          <w:rFonts w:ascii="Times New Roman" w:eastAsia="Times New Roman" w:hAnsi="Times New Roman" w:cs="Times New Roman"/>
          <w:sz w:val="24"/>
          <w:szCs w:val="20"/>
        </w:rPr>
        <w:t xml:space="preserve"> which needs to be addressed on a Union-wide basis. </w:t>
      </w:r>
    </w:p>
    <w:p w14:paraId="1C3DAB04" w14:textId="7A35605B" w:rsidR="00C42DB8" w:rsidRDefault="008A4B89" w:rsidP="002F1230">
      <w:pPr>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Based on</w:t>
      </w:r>
      <w:r w:rsidR="00864089">
        <w:rPr>
          <w:rFonts w:ascii="Times New Roman" w:hAnsi="Times New Roman" w:cs="Times New Roman"/>
          <w:iCs/>
          <w:color w:val="000000" w:themeColor="text1"/>
          <w:sz w:val="24"/>
          <w:szCs w:val="24"/>
        </w:rPr>
        <w:t xml:space="preserve"> the </w:t>
      </w:r>
      <w:r w:rsidR="00C42DB8">
        <w:rPr>
          <w:rFonts w:ascii="Times New Roman" w:hAnsi="Times New Roman" w:cs="Times New Roman"/>
          <w:iCs/>
          <w:color w:val="000000" w:themeColor="text1"/>
          <w:sz w:val="24"/>
          <w:szCs w:val="24"/>
        </w:rPr>
        <w:t>opinion</w:t>
      </w:r>
      <w:r w:rsidR="00864089">
        <w:rPr>
          <w:rFonts w:ascii="Times New Roman" w:hAnsi="Times New Roman" w:cs="Times New Roman"/>
          <w:iCs/>
          <w:color w:val="000000" w:themeColor="text1"/>
          <w:sz w:val="24"/>
          <w:szCs w:val="24"/>
        </w:rPr>
        <w:t xml:space="preserve">, </w:t>
      </w:r>
      <w:r w:rsidR="0040659B">
        <w:rPr>
          <w:rFonts w:ascii="Times New Roman" w:eastAsia="Times New Roman" w:hAnsi="Times New Roman" w:cs="Times New Roman"/>
          <w:sz w:val="24"/>
          <w:szCs w:val="20"/>
        </w:rPr>
        <w:t>i</w:t>
      </w:r>
      <w:r w:rsidR="0040659B" w:rsidRPr="00C42DB8">
        <w:rPr>
          <w:rFonts w:ascii="Times New Roman" w:eastAsia="Times New Roman" w:hAnsi="Times New Roman" w:cs="Times New Roman"/>
          <w:sz w:val="24"/>
          <w:szCs w:val="20"/>
        </w:rPr>
        <w:t xml:space="preserve">n accordance with Article 73 (1) of REACH, </w:t>
      </w:r>
      <w:r w:rsidR="00864089">
        <w:rPr>
          <w:rFonts w:ascii="Times New Roman" w:hAnsi="Times New Roman" w:cs="Times New Roman"/>
          <w:iCs/>
          <w:color w:val="000000" w:themeColor="text1"/>
          <w:sz w:val="24"/>
          <w:szCs w:val="24"/>
        </w:rPr>
        <w:t>t</w:t>
      </w:r>
      <w:r w:rsidR="002F1230" w:rsidRPr="002F1230">
        <w:rPr>
          <w:rFonts w:ascii="Times New Roman" w:hAnsi="Times New Roman" w:cs="Times New Roman"/>
          <w:iCs/>
          <w:color w:val="000000" w:themeColor="text1"/>
          <w:sz w:val="24"/>
          <w:szCs w:val="24"/>
        </w:rPr>
        <w:t>he Commission start</w:t>
      </w:r>
      <w:r w:rsidR="00C42DB8">
        <w:rPr>
          <w:rFonts w:ascii="Times New Roman" w:hAnsi="Times New Roman" w:cs="Times New Roman"/>
          <w:iCs/>
          <w:color w:val="000000" w:themeColor="text1"/>
          <w:sz w:val="24"/>
          <w:szCs w:val="24"/>
        </w:rPr>
        <w:t>ed</w:t>
      </w:r>
      <w:r w:rsidR="002F1230" w:rsidRPr="002F1230">
        <w:rPr>
          <w:rFonts w:ascii="Times New Roman" w:hAnsi="Times New Roman" w:cs="Times New Roman"/>
          <w:iCs/>
          <w:color w:val="000000" w:themeColor="text1"/>
          <w:sz w:val="24"/>
          <w:szCs w:val="24"/>
        </w:rPr>
        <w:t xml:space="preserve"> the legislative procedure to amend Annex XVII of</w:t>
      </w:r>
      <w:r w:rsidR="00213DC4">
        <w:rPr>
          <w:rFonts w:ascii="Times New Roman" w:hAnsi="Times New Roman" w:cs="Times New Roman"/>
          <w:iCs/>
          <w:color w:val="000000" w:themeColor="text1"/>
          <w:sz w:val="24"/>
          <w:szCs w:val="24"/>
        </w:rPr>
        <w:t xml:space="preserve"> the</w:t>
      </w:r>
      <w:r w:rsidR="002F1230" w:rsidRPr="002F1230">
        <w:rPr>
          <w:rFonts w:ascii="Times New Roman" w:hAnsi="Times New Roman" w:cs="Times New Roman"/>
          <w:iCs/>
          <w:color w:val="000000" w:themeColor="text1"/>
          <w:sz w:val="24"/>
          <w:szCs w:val="24"/>
        </w:rPr>
        <w:t xml:space="preserve"> </w:t>
      </w:r>
      <w:r w:rsidR="00213DC4" w:rsidRPr="002F1230">
        <w:rPr>
          <w:rFonts w:ascii="Times New Roman" w:hAnsi="Times New Roman" w:cs="Times New Roman"/>
          <w:iCs/>
          <w:color w:val="000000" w:themeColor="text1"/>
          <w:sz w:val="24"/>
          <w:szCs w:val="24"/>
        </w:rPr>
        <w:t>R</w:t>
      </w:r>
      <w:r>
        <w:rPr>
          <w:rFonts w:ascii="Times New Roman" w:hAnsi="Times New Roman" w:cs="Times New Roman"/>
          <w:iCs/>
          <w:color w:val="000000" w:themeColor="text1"/>
          <w:sz w:val="24"/>
          <w:szCs w:val="24"/>
        </w:rPr>
        <w:t>EACH</w:t>
      </w:r>
      <w:r w:rsidR="00213DC4" w:rsidRPr="002F1230">
        <w:rPr>
          <w:rFonts w:ascii="Times New Roman" w:hAnsi="Times New Roman" w:cs="Times New Roman"/>
          <w:iCs/>
          <w:color w:val="000000" w:themeColor="text1"/>
          <w:sz w:val="24"/>
          <w:szCs w:val="24"/>
        </w:rPr>
        <w:t xml:space="preserve"> </w:t>
      </w:r>
      <w:r w:rsidR="00213DC4">
        <w:rPr>
          <w:rFonts w:ascii="Times New Roman" w:hAnsi="Times New Roman" w:cs="Times New Roman"/>
          <w:iCs/>
          <w:color w:val="000000" w:themeColor="text1"/>
          <w:sz w:val="24"/>
          <w:szCs w:val="24"/>
        </w:rPr>
        <w:t>Regulation</w:t>
      </w:r>
      <w:r w:rsidR="00085D50">
        <w:rPr>
          <w:rFonts w:ascii="Times New Roman" w:hAnsi="Times New Roman" w:cs="Times New Roman"/>
          <w:iCs/>
          <w:color w:val="000000" w:themeColor="text1"/>
          <w:sz w:val="24"/>
          <w:szCs w:val="24"/>
        </w:rPr>
        <w:t>.</w:t>
      </w:r>
      <w:r>
        <w:rPr>
          <w:rFonts w:ascii="Times New Roman" w:hAnsi="Times New Roman" w:cs="Times New Roman"/>
          <w:iCs/>
          <w:color w:val="000000" w:themeColor="text1"/>
          <w:sz w:val="24"/>
          <w:szCs w:val="24"/>
        </w:rPr>
        <w:t xml:space="preserve"> </w:t>
      </w:r>
      <w:r w:rsidR="00C42DB8">
        <w:rPr>
          <w:rFonts w:ascii="Times New Roman" w:hAnsi="Times New Roman" w:cs="Times New Roman"/>
          <w:iCs/>
          <w:color w:val="000000" w:themeColor="text1"/>
          <w:sz w:val="24"/>
          <w:szCs w:val="24"/>
        </w:rPr>
        <w:t>The Commission proposal is currently being discussed in the REACH Committee.</w:t>
      </w:r>
    </w:p>
    <w:p w14:paraId="16C5BD06" w14:textId="77777777" w:rsidR="00F8155C" w:rsidRDefault="009E6F8D" w:rsidP="0040659B">
      <w:pPr>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 xml:space="preserve">The Commission </w:t>
      </w:r>
      <w:r w:rsidR="0040659B">
        <w:rPr>
          <w:rFonts w:ascii="Times New Roman" w:hAnsi="Times New Roman" w:cs="Times New Roman"/>
          <w:iCs/>
          <w:color w:val="000000" w:themeColor="text1"/>
          <w:sz w:val="24"/>
          <w:szCs w:val="24"/>
        </w:rPr>
        <w:t xml:space="preserve">services </w:t>
      </w:r>
      <w:r>
        <w:rPr>
          <w:rFonts w:ascii="Times New Roman" w:hAnsi="Times New Roman" w:cs="Times New Roman"/>
          <w:iCs/>
          <w:color w:val="000000" w:themeColor="text1"/>
          <w:sz w:val="24"/>
          <w:szCs w:val="24"/>
        </w:rPr>
        <w:t xml:space="preserve">would like to invite NADEG members to contact the competent national authorities in charge of REACH, in particular their national representatives in the REACH Committee, to raise their awareness on the issue </w:t>
      </w:r>
      <w:r w:rsidR="0040659B">
        <w:rPr>
          <w:rFonts w:ascii="Times New Roman" w:hAnsi="Times New Roman" w:cs="Times New Roman"/>
          <w:iCs/>
          <w:color w:val="000000" w:themeColor="text1"/>
          <w:sz w:val="24"/>
          <w:szCs w:val="24"/>
        </w:rPr>
        <w:t xml:space="preserve">and </w:t>
      </w:r>
      <w:r>
        <w:rPr>
          <w:rFonts w:ascii="Times New Roman" w:hAnsi="Times New Roman" w:cs="Times New Roman"/>
          <w:iCs/>
          <w:color w:val="000000" w:themeColor="text1"/>
          <w:sz w:val="24"/>
          <w:szCs w:val="24"/>
        </w:rPr>
        <w:t xml:space="preserve">to ensure </w:t>
      </w:r>
      <w:r w:rsidR="00325E98">
        <w:rPr>
          <w:rFonts w:ascii="Times New Roman" w:hAnsi="Times New Roman" w:cs="Times New Roman"/>
          <w:iCs/>
          <w:color w:val="000000" w:themeColor="text1"/>
          <w:sz w:val="24"/>
          <w:szCs w:val="24"/>
        </w:rPr>
        <w:t>a positive vote on</w:t>
      </w:r>
      <w:r>
        <w:rPr>
          <w:rFonts w:ascii="Times New Roman" w:hAnsi="Times New Roman" w:cs="Times New Roman"/>
          <w:iCs/>
          <w:color w:val="000000" w:themeColor="text1"/>
          <w:sz w:val="24"/>
          <w:szCs w:val="24"/>
        </w:rPr>
        <w:t xml:space="preserve"> the draft Commission </w:t>
      </w:r>
      <w:r w:rsidR="00325E98">
        <w:rPr>
          <w:rFonts w:ascii="Times New Roman" w:hAnsi="Times New Roman" w:cs="Times New Roman"/>
          <w:iCs/>
          <w:color w:val="000000" w:themeColor="text1"/>
          <w:sz w:val="24"/>
          <w:szCs w:val="24"/>
        </w:rPr>
        <w:t>R</w:t>
      </w:r>
      <w:r>
        <w:rPr>
          <w:rFonts w:ascii="Times New Roman" w:hAnsi="Times New Roman" w:cs="Times New Roman"/>
          <w:iCs/>
          <w:color w:val="000000" w:themeColor="text1"/>
          <w:sz w:val="24"/>
          <w:szCs w:val="24"/>
        </w:rPr>
        <w:t>egulation</w:t>
      </w:r>
      <w:r w:rsidR="00D224C1">
        <w:rPr>
          <w:rFonts w:ascii="Times New Roman" w:hAnsi="Times New Roman" w:cs="Times New Roman"/>
          <w:iCs/>
          <w:color w:val="000000" w:themeColor="text1"/>
          <w:sz w:val="24"/>
          <w:szCs w:val="24"/>
        </w:rPr>
        <w:t xml:space="preserve">. A vote in the Committee </w:t>
      </w:r>
      <w:r w:rsidR="0040659B">
        <w:rPr>
          <w:rFonts w:ascii="Times New Roman" w:hAnsi="Times New Roman" w:cs="Times New Roman"/>
          <w:iCs/>
          <w:color w:val="000000" w:themeColor="text1"/>
          <w:sz w:val="24"/>
          <w:szCs w:val="24"/>
        </w:rPr>
        <w:t>is expected</w:t>
      </w:r>
      <w:r w:rsidR="00D224C1">
        <w:rPr>
          <w:rFonts w:ascii="Times New Roman" w:hAnsi="Times New Roman" w:cs="Times New Roman"/>
          <w:iCs/>
          <w:color w:val="000000" w:themeColor="text1"/>
          <w:sz w:val="24"/>
          <w:szCs w:val="24"/>
        </w:rPr>
        <w:t xml:space="preserve"> in June</w:t>
      </w:r>
      <w:r w:rsidR="00B4090F">
        <w:rPr>
          <w:rStyle w:val="FootnoteReference"/>
          <w:rFonts w:ascii="Times New Roman" w:hAnsi="Times New Roman" w:cs="Times New Roman"/>
          <w:iCs/>
          <w:color w:val="000000" w:themeColor="text1"/>
          <w:sz w:val="24"/>
          <w:szCs w:val="24"/>
        </w:rPr>
        <w:footnoteReference w:id="3"/>
      </w:r>
      <w:r>
        <w:rPr>
          <w:rFonts w:ascii="Times New Roman" w:hAnsi="Times New Roman" w:cs="Times New Roman"/>
          <w:iCs/>
          <w:color w:val="000000" w:themeColor="text1"/>
          <w:sz w:val="24"/>
          <w:szCs w:val="24"/>
        </w:rPr>
        <w:t>.</w:t>
      </w:r>
      <w:r w:rsidR="00C42DB8">
        <w:rPr>
          <w:rFonts w:ascii="Times New Roman" w:hAnsi="Times New Roman" w:cs="Times New Roman"/>
          <w:iCs/>
          <w:color w:val="000000" w:themeColor="text1"/>
          <w:sz w:val="24"/>
          <w:szCs w:val="24"/>
        </w:rPr>
        <w:t xml:space="preserve"> </w:t>
      </w:r>
    </w:p>
    <w:p w14:paraId="4A1BAEAC" w14:textId="6DB87E8C" w:rsidR="0040659B" w:rsidRPr="008347B7" w:rsidRDefault="0040659B" w:rsidP="0040659B">
      <w:pPr>
        <w:jc w:val="both"/>
        <w:rPr>
          <w:rFonts w:ascii="Times New Roman" w:eastAsia="Times New Roman" w:hAnsi="Times New Roman" w:cs="Times New Roman"/>
          <w:sz w:val="24"/>
          <w:szCs w:val="24"/>
        </w:rPr>
      </w:pPr>
      <w:r w:rsidRPr="002F1230">
        <w:rPr>
          <w:rFonts w:ascii="Times New Roman" w:hAnsi="Times New Roman" w:cs="Times New Roman"/>
          <w:iCs/>
          <w:color w:val="000000" w:themeColor="text1"/>
          <w:sz w:val="24"/>
          <w:szCs w:val="24"/>
        </w:rPr>
        <w:lastRenderedPageBreak/>
        <w:t xml:space="preserve">In parallel, the Commission asked ECHA to assess the potential ban of lead in terrestrial habitats </w:t>
      </w:r>
      <w:r>
        <w:rPr>
          <w:rFonts w:ascii="Times New Roman" w:hAnsi="Times New Roman" w:cs="Times New Roman"/>
          <w:iCs/>
          <w:color w:val="000000" w:themeColor="text1"/>
          <w:sz w:val="24"/>
          <w:szCs w:val="24"/>
        </w:rPr>
        <w:t xml:space="preserve">other than wetlands </w:t>
      </w:r>
      <w:r w:rsidRPr="002F1230">
        <w:rPr>
          <w:rFonts w:ascii="Times New Roman" w:hAnsi="Times New Roman" w:cs="Times New Roman"/>
          <w:iCs/>
          <w:color w:val="000000" w:themeColor="text1"/>
          <w:sz w:val="24"/>
          <w:szCs w:val="24"/>
        </w:rPr>
        <w:t>and in fishing weights (</w:t>
      </w:r>
      <w:r>
        <w:rPr>
          <w:rFonts w:ascii="Times New Roman" w:hAnsi="Times New Roman" w:cs="Times New Roman"/>
          <w:iCs/>
          <w:color w:val="000000" w:themeColor="text1"/>
          <w:sz w:val="24"/>
          <w:szCs w:val="24"/>
        </w:rPr>
        <w:t xml:space="preserve">cf. </w:t>
      </w:r>
      <w:r w:rsidRPr="002F1230">
        <w:rPr>
          <w:rFonts w:ascii="Times New Roman" w:hAnsi="Times New Roman" w:cs="Times New Roman"/>
          <w:iCs/>
          <w:color w:val="000000" w:themeColor="text1"/>
          <w:sz w:val="24"/>
          <w:szCs w:val="24"/>
        </w:rPr>
        <w:t>resolution</w:t>
      </w:r>
      <w:r>
        <w:rPr>
          <w:rFonts w:ascii="Times New Roman" w:hAnsi="Times New Roman" w:cs="Times New Roman"/>
          <w:iCs/>
          <w:color w:val="000000" w:themeColor="text1"/>
          <w:sz w:val="24"/>
          <w:szCs w:val="24"/>
        </w:rPr>
        <w:t xml:space="preserve"> </w:t>
      </w:r>
      <w:r w:rsidRPr="002F1230">
        <w:rPr>
          <w:rFonts w:ascii="Times New Roman" w:hAnsi="Times New Roman" w:cs="Times New Roman"/>
          <w:iCs/>
          <w:color w:val="000000" w:themeColor="text1"/>
          <w:sz w:val="24"/>
          <w:szCs w:val="24"/>
        </w:rPr>
        <w:t>11.15</w:t>
      </w:r>
      <w:r>
        <w:rPr>
          <w:rStyle w:val="FootnoteReference"/>
          <w:rFonts w:ascii="Times New Roman" w:hAnsi="Times New Roman" w:cs="Times New Roman"/>
          <w:iCs/>
          <w:color w:val="000000" w:themeColor="text1"/>
          <w:sz w:val="24"/>
          <w:szCs w:val="24"/>
        </w:rPr>
        <w:footnoteReference w:id="4"/>
      </w:r>
      <w:r>
        <w:rPr>
          <w:rFonts w:ascii="Times New Roman" w:hAnsi="Times New Roman" w:cs="Times New Roman"/>
          <w:iCs/>
          <w:color w:val="000000" w:themeColor="text1"/>
          <w:sz w:val="24"/>
          <w:szCs w:val="24"/>
        </w:rPr>
        <w:t>of the Convention on Migratory Species</w:t>
      </w:r>
      <w:r w:rsidRPr="002F1230">
        <w:rPr>
          <w:rFonts w:ascii="Times New Roman" w:hAnsi="Times New Roman" w:cs="Times New Roman"/>
          <w:iCs/>
          <w:color w:val="000000" w:themeColor="text1"/>
          <w:sz w:val="24"/>
          <w:szCs w:val="24"/>
        </w:rPr>
        <w:t xml:space="preserve"> 11.15</w:t>
      </w:r>
      <w:r>
        <w:rPr>
          <w:rStyle w:val="FootnoteReference"/>
          <w:rFonts w:ascii="Times New Roman" w:hAnsi="Times New Roman" w:cs="Times New Roman"/>
          <w:iCs/>
          <w:color w:val="000000" w:themeColor="text1"/>
          <w:sz w:val="24"/>
          <w:szCs w:val="24"/>
        </w:rPr>
        <w:footnoteReference w:id="5"/>
      </w:r>
      <w:r w:rsidRPr="002F1230">
        <w:rPr>
          <w:rFonts w:ascii="Times New Roman" w:hAnsi="Times New Roman" w:cs="Times New Roman"/>
          <w:iCs/>
          <w:color w:val="000000" w:themeColor="text1"/>
          <w:sz w:val="24"/>
          <w:szCs w:val="24"/>
        </w:rPr>
        <w:t xml:space="preserve">). </w:t>
      </w:r>
      <w:r>
        <w:rPr>
          <w:rFonts w:ascii="Times New Roman" w:hAnsi="Times New Roman" w:cs="Times New Roman"/>
          <w:iCs/>
          <w:color w:val="000000" w:themeColor="text1"/>
          <w:sz w:val="24"/>
          <w:szCs w:val="24"/>
        </w:rPr>
        <w:t>ECHA concluded that there are sufficient indications of risk from those uses of lead to justify additional regulatory measures</w:t>
      </w:r>
      <w:r>
        <w:rPr>
          <w:rStyle w:val="FootnoteReference"/>
          <w:rFonts w:ascii="Times New Roman" w:hAnsi="Times New Roman" w:cs="Times New Roman"/>
          <w:iCs/>
          <w:color w:val="000000" w:themeColor="text1"/>
          <w:sz w:val="24"/>
          <w:szCs w:val="24"/>
        </w:rPr>
        <w:footnoteReference w:id="6"/>
      </w:r>
      <w:r>
        <w:rPr>
          <w:rFonts w:ascii="Times New Roman" w:hAnsi="Times New Roman" w:cs="Times New Roman"/>
          <w:iCs/>
          <w:color w:val="000000" w:themeColor="text1"/>
          <w:sz w:val="24"/>
          <w:szCs w:val="24"/>
        </w:rPr>
        <w:t xml:space="preserve">. On 16 July 2019, the Commission requested ECHA to prepare an Annex XV dossier for restriction on </w:t>
      </w:r>
      <w:r w:rsidRPr="008347B7">
        <w:rPr>
          <w:rFonts w:ascii="Times New Roman" w:eastAsia="Times New Roman" w:hAnsi="Times New Roman" w:cs="Times New Roman"/>
          <w:sz w:val="24"/>
          <w:szCs w:val="24"/>
        </w:rPr>
        <w:t>the placing on the market and use of lead in ammunition, i.e. gunshot used in terrains other than wetlands and bullets used both in wetlands and in terrains other than wetlands, as well as of lead in fishing tackle</w:t>
      </w:r>
      <w:r>
        <w:rPr>
          <w:rFonts w:ascii="Times New Roman" w:eastAsia="Times New Roman" w:hAnsi="Times New Roman" w:cs="Times New Roman"/>
          <w:sz w:val="24"/>
          <w:szCs w:val="24"/>
        </w:rPr>
        <w:t>.</w:t>
      </w:r>
    </w:p>
    <w:p w14:paraId="2308EB75" w14:textId="77777777" w:rsidR="0040659B" w:rsidRDefault="0040659B" w:rsidP="0040659B">
      <w:pPr>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ECHA is currently working on the Annex XV dossier for restriction, to be submitted to the Scientific Committees in the autumn of 2020. All the information on this process will be made publicly available on ECHA website</w:t>
      </w:r>
      <w:r>
        <w:rPr>
          <w:rStyle w:val="FootnoteReference"/>
          <w:rFonts w:ascii="Times New Roman" w:hAnsi="Times New Roman" w:cs="Times New Roman"/>
          <w:iCs/>
          <w:color w:val="000000" w:themeColor="text1"/>
          <w:sz w:val="24"/>
          <w:szCs w:val="24"/>
        </w:rPr>
        <w:footnoteReference w:id="7"/>
      </w:r>
      <w:r>
        <w:rPr>
          <w:rFonts w:ascii="Times New Roman" w:hAnsi="Times New Roman" w:cs="Times New Roman"/>
          <w:iCs/>
          <w:color w:val="000000" w:themeColor="text1"/>
          <w:sz w:val="24"/>
          <w:szCs w:val="24"/>
        </w:rPr>
        <w:t>.</w:t>
      </w:r>
    </w:p>
    <w:p w14:paraId="140A21B5" w14:textId="1B6BFDA0" w:rsidR="009E6F8D" w:rsidRDefault="00C42DB8" w:rsidP="002F1230">
      <w:pPr>
        <w:jc w:val="both"/>
        <w:rPr>
          <w:rFonts w:ascii="Times New Roman" w:hAnsi="Times New Roman" w:cs="Times New Roman"/>
          <w:iCs/>
          <w:color w:val="000000" w:themeColor="text1"/>
          <w:sz w:val="24"/>
          <w:szCs w:val="24"/>
        </w:rPr>
      </w:pPr>
      <w:r>
        <w:rPr>
          <w:rFonts w:ascii="Times New Roman" w:hAnsi="Times New Roman" w:cs="Times New Roman"/>
          <w:iCs/>
          <w:color w:val="000000" w:themeColor="text1"/>
          <w:sz w:val="24"/>
          <w:szCs w:val="24"/>
        </w:rPr>
        <w:t xml:space="preserve">NADEG members can also contribute </w:t>
      </w:r>
      <w:r w:rsidR="003C0F20">
        <w:rPr>
          <w:rFonts w:ascii="Times New Roman" w:hAnsi="Times New Roman" w:cs="Times New Roman"/>
          <w:iCs/>
          <w:color w:val="000000" w:themeColor="text1"/>
          <w:sz w:val="24"/>
          <w:szCs w:val="24"/>
        </w:rPr>
        <w:t>to the on-going restriction process</w:t>
      </w:r>
      <w:r w:rsidR="00B4090F" w:rsidRPr="00B4090F">
        <w:t xml:space="preserve"> </w:t>
      </w:r>
      <w:r w:rsidR="00B4090F">
        <w:t>(</w:t>
      </w:r>
      <w:r w:rsidR="00B4090F" w:rsidRPr="00B4090F">
        <w:rPr>
          <w:rFonts w:ascii="Times New Roman" w:hAnsi="Times New Roman" w:cs="Times New Roman"/>
          <w:iCs/>
          <w:color w:val="000000" w:themeColor="text1"/>
          <w:sz w:val="24"/>
          <w:szCs w:val="24"/>
        </w:rPr>
        <w:t>potential ban of lead in terrestrial habitats other than wetlands and in fishing weights</w:t>
      </w:r>
      <w:r w:rsidR="00B4090F">
        <w:rPr>
          <w:rFonts w:ascii="Times New Roman" w:hAnsi="Times New Roman" w:cs="Times New Roman"/>
          <w:iCs/>
          <w:color w:val="000000" w:themeColor="text1"/>
          <w:sz w:val="24"/>
          <w:szCs w:val="24"/>
        </w:rPr>
        <w:t>)</w:t>
      </w:r>
      <w:r w:rsidR="003C0F20">
        <w:rPr>
          <w:rFonts w:ascii="Times New Roman" w:hAnsi="Times New Roman" w:cs="Times New Roman"/>
          <w:iCs/>
          <w:color w:val="000000" w:themeColor="text1"/>
          <w:sz w:val="24"/>
          <w:szCs w:val="24"/>
        </w:rPr>
        <w:t>. Once the discussion starts in the ECHA Scientific Committees, there will be two public consultations.</w:t>
      </w:r>
    </w:p>
    <w:sectPr w:rsidR="009E6F8D" w:rsidSect="0095398A">
      <w:footerReference w:type="default" r:id="rId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7C81D1" w14:textId="77777777" w:rsidR="007E4DE7" w:rsidRDefault="007E4DE7" w:rsidP="0082785E">
      <w:pPr>
        <w:spacing w:after="0" w:line="240" w:lineRule="auto"/>
      </w:pPr>
      <w:r>
        <w:separator/>
      </w:r>
    </w:p>
  </w:endnote>
  <w:endnote w:type="continuationSeparator" w:id="0">
    <w:p w14:paraId="42A5A8CC" w14:textId="77777777" w:rsidR="007E4DE7" w:rsidRDefault="007E4DE7" w:rsidP="008278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83803143"/>
      <w:docPartObj>
        <w:docPartGallery w:val="Page Numbers (Bottom of Page)"/>
        <w:docPartUnique/>
      </w:docPartObj>
    </w:sdtPr>
    <w:sdtEndPr>
      <w:rPr>
        <w:noProof/>
      </w:rPr>
    </w:sdtEndPr>
    <w:sdtContent>
      <w:p w14:paraId="4E2A9F38" w14:textId="1AE9E916" w:rsidR="00E77436" w:rsidRDefault="00E77436">
        <w:pPr>
          <w:pStyle w:val="Footer"/>
          <w:jc w:val="center"/>
        </w:pPr>
        <w:r>
          <w:fldChar w:fldCharType="begin"/>
        </w:r>
        <w:r>
          <w:instrText xml:space="preserve"> PAGE   \* MERGEFORMAT </w:instrText>
        </w:r>
        <w:r>
          <w:fldChar w:fldCharType="separate"/>
        </w:r>
        <w:r w:rsidR="00A16FE1">
          <w:rPr>
            <w:noProof/>
          </w:rPr>
          <w:t>1</w:t>
        </w:r>
        <w:r>
          <w:rPr>
            <w:noProof/>
          </w:rPr>
          <w:fldChar w:fldCharType="end"/>
        </w:r>
      </w:p>
    </w:sdtContent>
  </w:sdt>
  <w:p w14:paraId="542B096D" w14:textId="77777777" w:rsidR="00E77436" w:rsidRDefault="00E774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DCF894" w14:textId="77777777" w:rsidR="007E4DE7" w:rsidRDefault="007E4DE7" w:rsidP="0082785E">
      <w:pPr>
        <w:spacing w:after="0" w:line="240" w:lineRule="auto"/>
      </w:pPr>
      <w:r>
        <w:separator/>
      </w:r>
    </w:p>
  </w:footnote>
  <w:footnote w:type="continuationSeparator" w:id="0">
    <w:p w14:paraId="3F9E1911" w14:textId="77777777" w:rsidR="007E4DE7" w:rsidRDefault="007E4DE7" w:rsidP="0082785E">
      <w:pPr>
        <w:spacing w:after="0" w:line="240" w:lineRule="auto"/>
      </w:pPr>
      <w:r>
        <w:continuationSeparator/>
      </w:r>
    </w:p>
  </w:footnote>
  <w:footnote w:id="1">
    <w:p w14:paraId="7041DA5F" w14:textId="2C5DA275" w:rsidR="00C42DB8" w:rsidRPr="00C42DB8" w:rsidRDefault="00C42DB8">
      <w:pPr>
        <w:pStyle w:val="FootnoteText"/>
        <w:rPr>
          <w:lang w:val="fr-BE"/>
        </w:rPr>
      </w:pPr>
      <w:r>
        <w:rPr>
          <w:rStyle w:val="FootnoteReference"/>
        </w:rPr>
        <w:footnoteRef/>
      </w:r>
      <w:r>
        <w:t xml:space="preserve"> </w:t>
      </w:r>
      <w:hyperlink r:id="rId1" w:history="1">
        <w:r w:rsidRPr="00110E15">
          <w:rPr>
            <w:rStyle w:val="Hyperlink"/>
          </w:rPr>
          <w:t>https://echa.europa.eu/documents/10162/07e05943-ee0a-20e1-2946-9c656499c8f8</w:t>
        </w:r>
      </w:hyperlink>
      <w:r>
        <w:t xml:space="preserve"> </w:t>
      </w:r>
    </w:p>
  </w:footnote>
  <w:footnote w:id="2">
    <w:p w14:paraId="121699CD" w14:textId="77777777" w:rsidR="0040659B" w:rsidRPr="00C42DB8" w:rsidRDefault="0040659B" w:rsidP="0040659B">
      <w:pPr>
        <w:pStyle w:val="FootnoteText"/>
        <w:rPr>
          <w:rFonts w:ascii="Times New Roman" w:hAnsi="Times New Roman" w:cs="Times New Roman"/>
          <w:sz w:val="22"/>
          <w:szCs w:val="22"/>
          <w:lang w:val="fr-BE"/>
        </w:rPr>
      </w:pPr>
      <w:r w:rsidRPr="00E20336">
        <w:rPr>
          <w:rStyle w:val="FootnoteReference"/>
          <w:rFonts w:ascii="Times New Roman" w:hAnsi="Times New Roman" w:cs="Times New Roman"/>
          <w:sz w:val="22"/>
          <w:szCs w:val="22"/>
        </w:rPr>
        <w:footnoteRef/>
      </w:r>
      <w:r w:rsidRPr="00E20336">
        <w:rPr>
          <w:rFonts w:ascii="Times New Roman" w:hAnsi="Times New Roman" w:cs="Times New Roman"/>
          <w:sz w:val="22"/>
          <w:szCs w:val="22"/>
          <w:lang w:val="pl-PL"/>
        </w:rPr>
        <w:t xml:space="preserve"> </w:t>
      </w:r>
      <w:hyperlink r:id="rId2" w:history="1">
        <w:r w:rsidRPr="008347B7">
          <w:rPr>
            <w:rStyle w:val="Hyperlink"/>
            <w:lang w:val="fr-BE"/>
          </w:rPr>
          <w:t>https://echa.europa.eu/registry-of-restriction-intentions/-/dislist/details/0b0236e180c0ac38</w:t>
        </w:r>
      </w:hyperlink>
      <w:r>
        <w:rPr>
          <w:rFonts w:ascii="Times New Roman" w:hAnsi="Times New Roman" w:cs="Times New Roman"/>
          <w:sz w:val="22"/>
          <w:szCs w:val="22"/>
          <w:lang w:val="pl-PL"/>
        </w:rPr>
        <w:t xml:space="preserve"> </w:t>
      </w:r>
    </w:p>
  </w:footnote>
  <w:footnote w:id="3">
    <w:p w14:paraId="07BFD00A" w14:textId="6B6652DB" w:rsidR="00B4090F" w:rsidRPr="00B4090F" w:rsidRDefault="00B4090F">
      <w:pPr>
        <w:pStyle w:val="FootnoteText"/>
      </w:pPr>
      <w:r>
        <w:rPr>
          <w:rStyle w:val="FootnoteReference"/>
        </w:rPr>
        <w:footnoteRef/>
      </w:r>
      <w:r>
        <w:t xml:space="preserve"> The draft regulation will be at the agenda of the Committee for a vote </w:t>
      </w:r>
      <w:r w:rsidRPr="00B4090F">
        <w:t>if the conditions allow to convene a physical meeting</w:t>
      </w:r>
      <w:r>
        <w:t xml:space="preserve"> in June</w:t>
      </w:r>
      <w:r w:rsidR="00D97FAD">
        <w:t xml:space="preserve"> 2020</w:t>
      </w:r>
      <w:r w:rsidRPr="00B4090F">
        <w:t>.</w:t>
      </w:r>
    </w:p>
  </w:footnote>
  <w:footnote w:id="4">
    <w:p w14:paraId="283D9B5B" w14:textId="77777777" w:rsidR="0040659B" w:rsidRPr="00D97FAD" w:rsidRDefault="0040659B" w:rsidP="0040659B">
      <w:pPr>
        <w:pStyle w:val="FootnoteText"/>
      </w:pPr>
      <w:r>
        <w:rPr>
          <w:rStyle w:val="FootnoteReference"/>
        </w:rPr>
        <w:footnoteRef/>
      </w:r>
      <w:r w:rsidRPr="00D97FAD">
        <w:t xml:space="preserve"> </w:t>
      </w:r>
      <w:hyperlink r:id="rId3" w:history="1">
        <w:r w:rsidRPr="00D97FAD">
          <w:rPr>
            <w:rStyle w:val="Hyperlink"/>
          </w:rPr>
          <w:t>http://www.unep-aewa.org/en/document/unepcms-resolution-1115-preventing-poisoning-migratory-birds-0</w:t>
        </w:r>
      </w:hyperlink>
      <w:r w:rsidRPr="00D97FAD">
        <w:t xml:space="preserve"> </w:t>
      </w:r>
    </w:p>
  </w:footnote>
  <w:footnote w:id="5">
    <w:p w14:paraId="5E7DC035" w14:textId="77777777" w:rsidR="0040659B" w:rsidRPr="00CB4D94" w:rsidRDefault="0040659B" w:rsidP="0040659B">
      <w:pPr>
        <w:pStyle w:val="FootnoteText"/>
      </w:pPr>
      <w:r>
        <w:rPr>
          <w:rStyle w:val="FootnoteReference"/>
        </w:rPr>
        <w:footnoteRef/>
      </w:r>
      <w:r w:rsidRPr="00CB4D94">
        <w:t xml:space="preserve"> </w:t>
      </w:r>
      <w:hyperlink r:id="rId4" w:history="1">
        <w:r w:rsidRPr="00CB4D94">
          <w:rPr>
            <w:rStyle w:val="Hyperlink"/>
          </w:rPr>
          <w:t>http://www.unep-aewa.org/en/document/unepcms-resolution-1115-preventing-poisoning-migratory-birds-0</w:t>
        </w:r>
      </w:hyperlink>
      <w:r w:rsidRPr="00CB4D94">
        <w:t xml:space="preserve"> </w:t>
      </w:r>
    </w:p>
  </w:footnote>
  <w:footnote w:id="6">
    <w:p w14:paraId="19439C67" w14:textId="77777777" w:rsidR="0040659B" w:rsidRPr="00CB4D94" w:rsidRDefault="0040659B" w:rsidP="0040659B">
      <w:pPr>
        <w:pStyle w:val="FootnoteText"/>
        <w:rPr>
          <w:rStyle w:val="Hyperlink"/>
        </w:rPr>
      </w:pPr>
      <w:r>
        <w:rPr>
          <w:rStyle w:val="FootnoteReference"/>
        </w:rPr>
        <w:footnoteRef/>
      </w:r>
      <w:r w:rsidRPr="00CB4D94">
        <w:t xml:space="preserve"> </w:t>
      </w:r>
      <w:hyperlink r:id="rId5" w:history="1">
        <w:r w:rsidRPr="00CB4D94">
          <w:rPr>
            <w:rStyle w:val="Hyperlink"/>
          </w:rPr>
          <w:t>https://echa.europa.eu/documents/10162/13641/lead_ammunition_investigation_report_en.pdf</w:t>
        </w:r>
      </w:hyperlink>
    </w:p>
  </w:footnote>
  <w:footnote w:id="7">
    <w:p w14:paraId="51D3EB84" w14:textId="77777777" w:rsidR="0040659B" w:rsidRPr="00CB4D94" w:rsidRDefault="0040659B" w:rsidP="0040659B">
      <w:pPr>
        <w:pStyle w:val="FootnoteText"/>
      </w:pPr>
      <w:r w:rsidRPr="008347B7">
        <w:rPr>
          <w:rStyle w:val="Hyperlink"/>
          <w:lang w:val="fr-BE"/>
        </w:rPr>
        <w:footnoteRef/>
      </w:r>
      <w:r w:rsidRPr="00CB4D94">
        <w:rPr>
          <w:rStyle w:val="Hyperlink"/>
        </w:rPr>
        <w:t xml:space="preserve"> </w:t>
      </w:r>
      <w:hyperlink r:id="rId6" w:history="1">
        <w:r w:rsidRPr="00CB4D94">
          <w:rPr>
            <w:rStyle w:val="Hyperlink"/>
          </w:rPr>
          <w:t>https://echa.europa.eu/registry-of-restriction-intentions/-/dislist/details/0b0236e1840159e6</w:t>
        </w:r>
      </w:hyperlink>
      <w:r w:rsidRPr="00CB4D94">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E7D71"/>
    <w:multiLevelType w:val="hybridMultilevel"/>
    <w:tmpl w:val="366E60CE"/>
    <w:lvl w:ilvl="0" w:tplc="D1428A6A">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62185C"/>
    <w:multiLevelType w:val="hybridMultilevel"/>
    <w:tmpl w:val="9DE03DC2"/>
    <w:lvl w:ilvl="0" w:tplc="B4E06EB6">
      <w:start w:val="1"/>
      <w:numFmt w:val="decimal"/>
      <w:lvlText w:val="%1."/>
      <w:lvlJc w:val="left"/>
      <w:pPr>
        <w:ind w:left="502" w:hanging="360"/>
      </w:pPr>
      <w:rPr>
        <w:rFonts w:hint="default"/>
        <w:b w:val="0"/>
      </w:rPr>
    </w:lvl>
    <w:lvl w:ilvl="1" w:tplc="08090013">
      <w:start w:val="1"/>
      <w:numFmt w:val="upp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051819"/>
    <w:multiLevelType w:val="hybridMultilevel"/>
    <w:tmpl w:val="4976B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6E5701"/>
    <w:multiLevelType w:val="hybridMultilevel"/>
    <w:tmpl w:val="F2787806"/>
    <w:lvl w:ilvl="0" w:tplc="F1DABC64">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E4E25AC"/>
    <w:multiLevelType w:val="hybridMultilevel"/>
    <w:tmpl w:val="D10E9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CD5620"/>
    <w:multiLevelType w:val="hybridMultilevel"/>
    <w:tmpl w:val="F82099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527330"/>
    <w:multiLevelType w:val="hybridMultilevel"/>
    <w:tmpl w:val="4DA6681E"/>
    <w:lvl w:ilvl="0" w:tplc="C03E9B3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F10C91"/>
    <w:multiLevelType w:val="hybridMultilevel"/>
    <w:tmpl w:val="B50C38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0E84B8F"/>
    <w:multiLevelType w:val="hybridMultilevel"/>
    <w:tmpl w:val="11F66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2248EC"/>
    <w:multiLevelType w:val="multilevel"/>
    <w:tmpl w:val="2A929C90"/>
    <w:styleLink w:val="Style1"/>
    <w:lvl w:ilvl="0">
      <w:start w:val="1"/>
      <w:numFmt w:val="decimal"/>
      <w:lvlText w:val="%1."/>
      <w:lvlJc w:val="left"/>
      <w:pPr>
        <w:ind w:left="502" w:hanging="360"/>
      </w:pPr>
      <w:rPr>
        <w:rFonts w:hint="default"/>
      </w:rPr>
    </w:lvl>
    <w:lvl w:ilvl="1">
      <w:start w:val="1"/>
      <w:numFmt w:val="upperLetter"/>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B942A48"/>
    <w:multiLevelType w:val="hybridMultilevel"/>
    <w:tmpl w:val="8258F5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C22690D"/>
    <w:multiLevelType w:val="hybridMultilevel"/>
    <w:tmpl w:val="6AB05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830ECF"/>
    <w:multiLevelType w:val="hybridMultilevel"/>
    <w:tmpl w:val="B28E6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96E37"/>
    <w:multiLevelType w:val="hybridMultilevel"/>
    <w:tmpl w:val="FD207584"/>
    <w:lvl w:ilvl="0" w:tplc="08090013">
      <w:start w:val="1"/>
      <w:numFmt w:val="upperRoman"/>
      <w:lvlText w:val="%1."/>
      <w:lvlJc w:val="right"/>
      <w:pPr>
        <w:ind w:left="1260" w:hanging="180"/>
      </w:pPr>
    </w:lvl>
    <w:lvl w:ilvl="1" w:tplc="08090019" w:tentative="1">
      <w:start w:val="1"/>
      <w:numFmt w:val="lowerLetter"/>
      <w:lvlText w:val="%2."/>
      <w:lvlJc w:val="left"/>
      <w:pPr>
        <w:ind w:left="1980" w:hanging="360"/>
      </w:pPr>
    </w:lvl>
    <w:lvl w:ilvl="2" w:tplc="0809001B" w:tentative="1">
      <w:start w:val="1"/>
      <w:numFmt w:val="lowerRoman"/>
      <w:lvlText w:val="%3."/>
      <w:lvlJc w:val="right"/>
      <w:pPr>
        <w:ind w:left="2700" w:hanging="180"/>
      </w:pPr>
    </w:lvl>
    <w:lvl w:ilvl="3" w:tplc="0809000F" w:tentative="1">
      <w:start w:val="1"/>
      <w:numFmt w:val="decimal"/>
      <w:lvlText w:val="%4."/>
      <w:lvlJc w:val="left"/>
      <w:pPr>
        <w:ind w:left="3420" w:hanging="360"/>
      </w:pPr>
    </w:lvl>
    <w:lvl w:ilvl="4" w:tplc="08090019" w:tentative="1">
      <w:start w:val="1"/>
      <w:numFmt w:val="lowerLetter"/>
      <w:lvlText w:val="%5."/>
      <w:lvlJc w:val="left"/>
      <w:pPr>
        <w:ind w:left="4140" w:hanging="360"/>
      </w:pPr>
    </w:lvl>
    <w:lvl w:ilvl="5" w:tplc="0809001B" w:tentative="1">
      <w:start w:val="1"/>
      <w:numFmt w:val="lowerRoman"/>
      <w:lvlText w:val="%6."/>
      <w:lvlJc w:val="right"/>
      <w:pPr>
        <w:ind w:left="4860" w:hanging="180"/>
      </w:pPr>
    </w:lvl>
    <w:lvl w:ilvl="6" w:tplc="0809000F" w:tentative="1">
      <w:start w:val="1"/>
      <w:numFmt w:val="decimal"/>
      <w:lvlText w:val="%7."/>
      <w:lvlJc w:val="left"/>
      <w:pPr>
        <w:ind w:left="5580" w:hanging="360"/>
      </w:pPr>
    </w:lvl>
    <w:lvl w:ilvl="7" w:tplc="08090019" w:tentative="1">
      <w:start w:val="1"/>
      <w:numFmt w:val="lowerLetter"/>
      <w:lvlText w:val="%8."/>
      <w:lvlJc w:val="left"/>
      <w:pPr>
        <w:ind w:left="6300" w:hanging="360"/>
      </w:pPr>
    </w:lvl>
    <w:lvl w:ilvl="8" w:tplc="0809001B" w:tentative="1">
      <w:start w:val="1"/>
      <w:numFmt w:val="lowerRoman"/>
      <w:lvlText w:val="%9."/>
      <w:lvlJc w:val="right"/>
      <w:pPr>
        <w:ind w:left="7020" w:hanging="180"/>
      </w:pPr>
    </w:lvl>
  </w:abstractNum>
  <w:abstractNum w:abstractNumId="14" w15:restartNumberingAfterBreak="0">
    <w:nsid w:val="57BA3B05"/>
    <w:multiLevelType w:val="hybridMultilevel"/>
    <w:tmpl w:val="D81435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BC73517"/>
    <w:multiLevelType w:val="hybridMultilevel"/>
    <w:tmpl w:val="EBD602BC"/>
    <w:lvl w:ilvl="0" w:tplc="8CBA40CC">
      <w:start w:val="30"/>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D9854E8"/>
    <w:multiLevelType w:val="hybridMultilevel"/>
    <w:tmpl w:val="12B05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B0A32B4"/>
    <w:multiLevelType w:val="hybridMultilevel"/>
    <w:tmpl w:val="BD9484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B8642E8"/>
    <w:multiLevelType w:val="hybridMultilevel"/>
    <w:tmpl w:val="0C92BDA4"/>
    <w:lvl w:ilvl="0" w:tplc="08090015">
      <w:start w:val="1"/>
      <w:numFmt w:val="upp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9" w15:restartNumberingAfterBreak="0">
    <w:nsid w:val="74D846E9"/>
    <w:multiLevelType w:val="hybridMultilevel"/>
    <w:tmpl w:val="3B06C1C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0" w15:restartNumberingAfterBreak="0">
    <w:nsid w:val="75994D2B"/>
    <w:multiLevelType w:val="multilevel"/>
    <w:tmpl w:val="2A929C90"/>
    <w:numStyleLink w:val="Style1"/>
  </w:abstractNum>
  <w:abstractNum w:abstractNumId="21" w15:restartNumberingAfterBreak="0">
    <w:nsid w:val="7AFD04F7"/>
    <w:multiLevelType w:val="hybridMultilevel"/>
    <w:tmpl w:val="871E1148"/>
    <w:lvl w:ilvl="0" w:tplc="D1428A6A">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9"/>
  </w:num>
  <w:num w:numId="6">
    <w:abstractNumId w:val="20"/>
  </w:num>
  <w:num w:numId="7">
    <w:abstractNumId w:val="4"/>
  </w:num>
  <w:num w:numId="8">
    <w:abstractNumId w:val="5"/>
  </w:num>
  <w:num w:numId="9">
    <w:abstractNumId w:val="15"/>
  </w:num>
  <w:num w:numId="10">
    <w:abstractNumId w:val="19"/>
  </w:num>
  <w:num w:numId="11">
    <w:abstractNumId w:val="2"/>
  </w:num>
  <w:num w:numId="12">
    <w:abstractNumId w:val="7"/>
  </w:num>
  <w:num w:numId="13">
    <w:abstractNumId w:val="10"/>
  </w:num>
  <w:num w:numId="14">
    <w:abstractNumId w:val="11"/>
  </w:num>
  <w:num w:numId="15">
    <w:abstractNumId w:val="12"/>
  </w:num>
  <w:num w:numId="16">
    <w:abstractNumId w:val="6"/>
  </w:num>
  <w:num w:numId="17">
    <w:abstractNumId w:val="3"/>
  </w:num>
  <w:num w:numId="18">
    <w:abstractNumId w:val="17"/>
  </w:num>
  <w:num w:numId="19">
    <w:abstractNumId w:val="14"/>
  </w:num>
  <w:num w:numId="20">
    <w:abstractNumId w:val="16"/>
  </w:num>
  <w:num w:numId="21">
    <w:abstractNumId w:val="21"/>
  </w:num>
  <w:num w:numId="22">
    <w:abstractNumId w:val="0"/>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4020DD"/>
    <w:rsid w:val="000061FB"/>
    <w:rsid w:val="0001149D"/>
    <w:rsid w:val="00014DCB"/>
    <w:rsid w:val="00027C63"/>
    <w:rsid w:val="00034544"/>
    <w:rsid w:val="00034698"/>
    <w:rsid w:val="00063DBC"/>
    <w:rsid w:val="000649FC"/>
    <w:rsid w:val="00072B03"/>
    <w:rsid w:val="00074691"/>
    <w:rsid w:val="00080806"/>
    <w:rsid w:val="00080CA1"/>
    <w:rsid w:val="00085D50"/>
    <w:rsid w:val="00093772"/>
    <w:rsid w:val="00093DB2"/>
    <w:rsid w:val="00094218"/>
    <w:rsid w:val="000962B3"/>
    <w:rsid w:val="000964D9"/>
    <w:rsid w:val="00096965"/>
    <w:rsid w:val="000A2CE0"/>
    <w:rsid w:val="000A5639"/>
    <w:rsid w:val="000B54B0"/>
    <w:rsid w:val="000B7845"/>
    <w:rsid w:val="000C7B42"/>
    <w:rsid w:val="000C7DF6"/>
    <w:rsid w:val="000D03E0"/>
    <w:rsid w:val="000D3A10"/>
    <w:rsid w:val="000E2886"/>
    <w:rsid w:val="000E7079"/>
    <w:rsid w:val="000F0714"/>
    <w:rsid w:val="00114564"/>
    <w:rsid w:val="001156C5"/>
    <w:rsid w:val="00120FE8"/>
    <w:rsid w:val="00121300"/>
    <w:rsid w:val="001356BB"/>
    <w:rsid w:val="0014610E"/>
    <w:rsid w:val="00146A48"/>
    <w:rsid w:val="001502E9"/>
    <w:rsid w:val="001520FA"/>
    <w:rsid w:val="00154DBE"/>
    <w:rsid w:val="001563B9"/>
    <w:rsid w:val="00164C9F"/>
    <w:rsid w:val="0016777C"/>
    <w:rsid w:val="00196967"/>
    <w:rsid w:val="00196FC4"/>
    <w:rsid w:val="001A1D59"/>
    <w:rsid w:val="001A206C"/>
    <w:rsid w:val="001A2481"/>
    <w:rsid w:val="001B1A11"/>
    <w:rsid w:val="001C2EF4"/>
    <w:rsid w:val="001C3347"/>
    <w:rsid w:val="001C37AF"/>
    <w:rsid w:val="001F001A"/>
    <w:rsid w:val="001F5A7C"/>
    <w:rsid w:val="0020049B"/>
    <w:rsid w:val="00205762"/>
    <w:rsid w:val="00213DC4"/>
    <w:rsid w:val="00215B2C"/>
    <w:rsid w:val="0021743D"/>
    <w:rsid w:val="00220D21"/>
    <w:rsid w:val="00222122"/>
    <w:rsid w:val="00227DAF"/>
    <w:rsid w:val="002358A6"/>
    <w:rsid w:val="002660E5"/>
    <w:rsid w:val="002672EE"/>
    <w:rsid w:val="00273BE8"/>
    <w:rsid w:val="00275A38"/>
    <w:rsid w:val="0027677F"/>
    <w:rsid w:val="00277699"/>
    <w:rsid w:val="002841CA"/>
    <w:rsid w:val="00284EAD"/>
    <w:rsid w:val="002A4AF0"/>
    <w:rsid w:val="002B3F9E"/>
    <w:rsid w:val="002C4246"/>
    <w:rsid w:val="002D118D"/>
    <w:rsid w:val="002F1230"/>
    <w:rsid w:val="002F1CAF"/>
    <w:rsid w:val="002F20D7"/>
    <w:rsid w:val="003008D1"/>
    <w:rsid w:val="00305FA8"/>
    <w:rsid w:val="0030665C"/>
    <w:rsid w:val="003212D8"/>
    <w:rsid w:val="003242D8"/>
    <w:rsid w:val="00325E98"/>
    <w:rsid w:val="003443BA"/>
    <w:rsid w:val="00355769"/>
    <w:rsid w:val="00364E18"/>
    <w:rsid w:val="00364FE9"/>
    <w:rsid w:val="00375728"/>
    <w:rsid w:val="0037636F"/>
    <w:rsid w:val="00382B22"/>
    <w:rsid w:val="0038542F"/>
    <w:rsid w:val="003868CD"/>
    <w:rsid w:val="003B1E4D"/>
    <w:rsid w:val="003C0F20"/>
    <w:rsid w:val="003D303D"/>
    <w:rsid w:val="003D7568"/>
    <w:rsid w:val="003F0B8C"/>
    <w:rsid w:val="003F1B34"/>
    <w:rsid w:val="00400E35"/>
    <w:rsid w:val="004020DD"/>
    <w:rsid w:val="00405323"/>
    <w:rsid w:val="004060D5"/>
    <w:rsid w:val="0040659B"/>
    <w:rsid w:val="00410720"/>
    <w:rsid w:val="00413067"/>
    <w:rsid w:val="004149C8"/>
    <w:rsid w:val="00454644"/>
    <w:rsid w:val="00460E8E"/>
    <w:rsid w:val="004638A2"/>
    <w:rsid w:val="0047277D"/>
    <w:rsid w:val="004758E2"/>
    <w:rsid w:val="00482F31"/>
    <w:rsid w:val="0048325A"/>
    <w:rsid w:val="00485967"/>
    <w:rsid w:val="00487C33"/>
    <w:rsid w:val="00492CDE"/>
    <w:rsid w:val="00496876"/>
    <w:rsid w:val="004A602C"/>
    <w:rsid w:val="004B0AEC"/>
    <w:rsid w:val="004B2099"/>
    <w:rsid w:val="004B26AD"/>
    <w:rsid w:val="004C11BB"/>
    <w:rsid w:val="004C1E34"/>
    <w:rsid w:val="004C22FB"/>
    <w:rsid w:val="004C2B98"/>
    <w:rsid w:val="004C5E1D"/>
    <w:rsid w:val="004D0195"/>
    <w:rsid w:val="004E187D"/>
    <w:rsid w:val="004E4FC3"/>
    <w:rsid w:val="005012A8"/>
    <w:rsid w:val="00510B2F"/>
    <w:rsid w:val="0051107B"/>
    <w:rsid w:val="005315F3"/>
    <w:rsid w:val="005336B3"/>
    <w:rsid w:val="00536BC3"/>
    <w:rsid w:val="005447B2"/>
    <w:rsid w:val="0054571A"/>
    <w:rsid w:val="00545B70"/>
    <w:rsid w:val="00547531"/>
    <w:rsid w:val="005550B9"/>
    <w:rsid w:val="00571B3E"/>
    <w:rsid w:val="00575B95"/>
    <w:rsid w:val="0057652F"/>
    <w:rsid w:val="00585FE6"/>
    <w:rsid w:val="005878E0"/>
    <w:rsid w:val="00592A54"/>
    <w:rsid w:val="005D1CFB"/>
    <w:rsid w:val="005D1D1C"/>
    <w:rsid w:val="005D2899"/>
    <w:rsid w:val="005D372F"/>
    <w:rsid w:val="005D7690"/>
    <w:rsid w:val="005E7CF1"/>
    <w:rsid w:val="005F1357"/>
    <w:rsid w:val="00601CBC"/>
    <w:rsid w:val="00603CB5"/>
    <w:rsid w:val="00610488"/>
    <w:rsid w:val="00633FBE"/>
    <w:rsid w:val="00645B4C"/>
    <w:rsid w:val="0064642B"/>
    <w:rsid w:val="006524E4"/>
    <w:rsid w:val="00660FC0"/>
    <w:rsid w:val="00663DAD"/>
    <w:rsid w:val="006665FE"/>
    <w:rsid w:val="00681639"/>
    <w:rsid w:val="00682B72"/>
    <w:rsid w:val="006931B5"/>
    <w:rsid w:val="00697774"/>
    <w:rsid w:val="0069796C"/>
    <w:rsid w:val="006B25AD"/>
    <w:rsid w:val="006B2C43"/>
    <w:rsid w:val="006B535C"/>
    <w:rsid w:val="006B6460"/>
    <w:rsid w:val="006C2208"/>
    <w:rsid w:val="007029BB"/>
    <w:rsid w:val="00704F58"/>
    <w:rsid w:val="00714EA1"/>
    <w:rsid w:val="0072052E"/>
    <w:rsid w:val="00723641"/>
    <w:rsid w:val="00726E79"/>
    <w:rsid w:val="00741F0C"/>
    <w:rsid w:val="00743D9D"/>
    <w:rsid w:val="007457AC"/>
    <w:rsid w:val="00751812"/>
    <w:rsid w:val="00753242"/>
    <w:rsid w:val="00756DA7"/>
    <w:rsid w:val="0076242D"/>
    <w:rsid w:val="00763ED9"/>
    <w:rsid w:val="00764A8E"/>
    <w:rsid w:val="0076766C"/>
    <w:rsid w:val="00770935"/>
    <w:rsid w:val="00771546"/>
    <w:rsid w:val="007828FB"/>
    <w:rsid w:val="007970DD"/>
    <w:rsid w:val="007A0FCC"/>
    <w:rsid w:val="007A3E35"/>
    <w:rsid w:val="007B56BD"/>
    <w:rsid w:val="007C0516"/>
    <w:rsid w:val="007C0879"/>
    <w:rsid w:val="007D196C"/>
    <w:rsid w:val="007D3118"/>
    <w:rsid w:val="007D7601"/>
    <w:rsid w:val="007D7F66"/>
    <w:rsid w:val="007E409F"/>
    <w:rsid w:val="007E4DE7"/>
    <w:rsid w:val="007F0B34"/>
    <w:rsid w:val="007F4D24"/>
    <w:rsid w:val="007F7EED"/>
    <w:rsid w:val="00802283"/>
    <w:rsid w:val="00803440"/>
    <w:rsid w:val="0081174F"/>
    <w:rsid w:val="00814F74"/>
    <w:rsid w:val="0082785E"/>
    <w:rsid w:val="008309E9"/>
    <w:rsid w:val="0083243B"/>
    <w:rsid w:val="008347B7"/>
    <w:rsid w:val="00837C20"/>
    <w:rsid w:val="00853600"/>
    <w:rsid w:val="008556E6"/>
    <w:rsid w:val="00864089"/>
    <w:rsid w:val="008651E1"/>
    <w:rsid w:val="0087055E"/>
    <w:rsid w:val="00875E52"/>
    <w:rsid w:val="00882387"/>
    <w:rsid w:val="00882FB9"/>
    <w:rsid w:val="0088595D"/>
    <w:rsid w:val="00887429"/>
    <w:rsid w:val="00890A99"/>
    <w:rsid w:val="00890ECC"/>
    <w:rsid w:val="0089432E"/>
    <w:rsid w:val="008A2909"/>
    <w:rsid w:val="008A4B89"/>
    <w:rsid w:val="008A59B2"/>
    <w:rsid w:val="008B26BE"/>
    <w:rsid w:val="008C1EA6"/>
    <w:rsid w:val="008C46EB"/>
    <w:rsid w:val="008C7670"/>
    <w:rsid w:val="008D0564"/>
    <w:rsid w:val="008D2E7E"/>
    <w:rsid w:val="008D54A0"/>
    <w:rsid w:val="008E1596"/>
    <w:rsid w:val="008E4A1C"/>
    <w:rsid w:val="008E6D7B"/>
    <w:rsid w:val="008F761E"/>
    <w:rsid w:val="00902BD0"/>
    <w:rsid w:val="00914AB0"/>
    <w:rsid w:val="00915CB1"/>
    <w:rsid w:val="009246F9"/>
    <w:rsid w:val="00927347"/>
    <w:rsid w:val="00927827"/>
    <w:rsid w:val="00937429"/>
    <w:rsid w:val="00950611"/>
    <w:rsid w:val="0095398A"/>
    <w:rsid w:val="00966CD8"/>
    <w:rsid w:val="00970B32"/>
    <w:rsid w:val="00975A25"/>
    <w:rsid w:val="00982141"/>
    <w:rsid w:val="00996783"/>
    <w:rsid w:val="00996970"/>
    <w:rsid w:val="009A0762"/>
    <w:rsid w:val="009A2C89"/>
    <w:rsid w:val="009A70D1"/>
    <w:rsid w:val="009B5D78"/>
    <w:rsid w:val="009C240C"/>
    <w:rsid w:val="009C5795"/>
    <w:rsid w:val="009C68D0"/>
    <w:rsid w:val="009D14B9"/>
    <w:rsid w:val="009E545A"/>
    <w:rsid w:val="009E5F8B"/>
    <w:rsid w:val="009E6F8D"/>
    <w:rsid w:val="009F1C12"/>
    <w:rsid w:val="009F3940"/>
    <w:rsid w:val="00A012F3"/>
    <w:rsid w:val="00A05AD9"/>
    <w:rsid w:val="00A07261"/>
    <w:rsid w:val="00A11EB4"/>
    <w:rsid w:val="00A14028"/>
    <w:rsid w:val="00A14D0C"/>
    <w:rsid w:val="00A16FE1"/>
    <w:rsid w:val="00A210E5"/>
    <w:rsid w:val="00A22A57"/>
    <w:rsid w:val="00A24C22"/>
    <w:rsid w:val="00A24FB0"/>
    <w:rsid w:val="00A314E8"/>
    <w:rsid w:val="00A33596"/>
    <w:rsid w:val="00A3390F"/>
    <w:rsid w:val="00A33CC7"/>
    <w:rsid w:val="00A46981"/>
    <w:rsid w:val="00A538C1"/>
    <w:rsid w:val="00A547E4"/>
    <w:rsid w:val="00A610C5"/>
    <w:rsid w:val="00A626B2"/>
    <w:rsid w:val="00A653C3"/>
    <w:rsid w:val="00A84F2F"/>
    <w:rsid w:val="00A924BD"/>
    <w:rsid w:val="00A93C48"/>
    <w:rsid w:val="00AA29E8"/>
    <w:rsid w:val="00AA7AE4"/>
    <w:rsid w:val="00AD1AC6"/>
    <w:rsid w:val="00AD7A92"/>
    <w:rsid w:val="00AE35E9"/>
    <w:rsid w:val="00AF3E57"/>
    <w:rsid w:val="00B05964"/>
    <w:rsid w:val="00B06CB6"/>
    <w:rsid w:val="00B16586"/>
    <w:rsid w:val="00B226C2"/>
    <w:rsid w:val="00B2662C"/>
    <w:rsid w:val="00B26690"/>
    <w:rsid w:val="00B30E47"/>
    <w:rsid w:val="00B4090F"/>
    <w:rsid w:val="00B72BDD"/>
    <w:rsid w:val="00B839BF"/>
    <w:rsid w:val="00B86425"/>
    <w:rsid w:val="00B86740"/>
    <w:rsid w:val="00B96D50"/>
    <w:rsid w:val="00BA4A09"/>
    <w:rsid w:val="00BB3E32"/>
    <w:rsid w:val="00BC2A79"/>
    <w:rsid w:val="00BD1935"/>
    <w:rsid w:val="00BD39D8"/>
    <w:rsid w:val="00BE099D"/>
    <w:rsid w:val="00BE122B"/>
    <w:rsid w:val="00BE1FA5"/>
    <w:rsid w:val="00BE7C35"/>
    <w:rsid w:val="00BF3113"/>
    <w:rsid w:val="00BF343D"/>
    <w:rsid w:val="00C103F8"/>
    <w:rsid w:val="00C13783"/>
    <w:rsid w:val="00C1639F"/>
    <w:rsid w:val="00C213E6"/>
    <w:rsid w:val="00C21BCA"/>
    <w:rsid w:val="00C26B57"/>
    <w:rsid w:val="00C27513"/>
    <w:rsid w:val="00C33F84"/>
    <w:rsid w:val="00C359DB"/>
    <w:rsid w:val="00C42DB8"/>
    <w:rsid w:val="00C53BBF"/>
    <w:rsid w:val="00C5700B"/>
    <w:rsid w:val="00C57B3F"/>
    <w:rsid w:val="00C6161D"/>
    <w:rsid w:val="00C703D9"/>
    <w:rsid w:val="00C743F1"/>
    <w:rsid w:val="00C84215"/>
    <w:rsid w:val="00C92FEE"/>
    <w:rsid w:val="00C95897"/>
    <w:rsid w:val="00CA79A8"/>
    <w:rsid w:val="00CB2C8F"/>
    <w:rsid w:val="00CB4D94"/>
    <w:rsid w:val="00CB520A"/>
    <w:rsid w:val="00CC7EF3"/>
    <w:rsid w:val="00CD1569"/>
    <w:rsid w:val="00CD3DD5"/>
    <w:rsid w:val="00CD4ADB"/>
    <w:rsid w:val="00CD592A"/>
    <w:rsid w:val="00CD766E"/>
    <w:rsid w:val="00CE3F97"/>
    <w:rsid w:val="00CF0D9A"/>
    <w:rsid w:val="00CF181B"/>
    <w:rsid w:val="00CF1B92"/>
    <w:rsid w:val="00D06FC5"/>
    <w:rsid w:val="00D07FB2"/>
    <w:rsid w:val="00D14516"/>
    <w:rsid w:val="00D21821"/>
    <w:rsid w:val="00D224C1"/>
    <w:rsid w:val="00D24B03"/>
    <w:rsid w:val="00D27C91"/>
    <w:rsid w:val="00D31783"/>
    <w:rsid w:val="00D40060"/>
    <w:rsid w:val="00D40924"/>
    <w:rsid w:val="00D428FC"/>
    <w:rsid w:val="00D46739"/>
    <w:rsid w:val="00D64608"/>
    <w:rsid w:val="00D75232"/>
    <w:rsid w:val="00D84F78"/>
    <w:rsid w:val="00D90E6A"/>
    <w:rsid w:val="00D9463F"/>
    <w:rsid w:val="00D961B6"/>
    <w:rsid w:val="00D97FAD"/>
    <w:rsid w:val="00DA1CD5"/>
    <w:rsid w:val="00DA3C42"/>
    <w:rsid w:val="00DA6B8B"/>
    <w:rsid w:val="00DB1AB3"/>
    <w:rsid w:val="00DB71C0"/>
    <w:rsid w:val="00DC70DA"/>
    <w:rsid w:val="00DD251B"/>
    <w:rsid w:val="00DD354E"/>
    <w:rsid w:val="00DF0529"/>
    <w:rsid w:val="00DF49B7"/>
    <w:rsid w:val="00E00EFF"/>
    <w:rsid w:val="00E0248B"/>
    <w:rsid w:val="00E03367"/>
    <w:rsid w:val="00E03C2D"/>
    <w:rsid w:val="00E043BC"/>
    <w:rsid w:val="00E2111A"/>
    <w:rsid w:val="00E214C1"/>
    <w:rsid w:val="00E21D7C"/>
    <w:rsid w:val="00E2330B"/>
    <w:rsid w:val="00E25738"/>
    <w:rsid w:val="00E30A8C"/>
    <w:rsid w:val="00E35E06"/>
    <w:rsid w:val="00E462A3"/>
    <w:rsid w:val="00E46563"/>
    <w:rsid w:val="00E4751E"/>
    <w:rsid w:val="00E5607A"/>
    <w:rsid w:val="00E569B6"/>
    <w:rsid w:val="00E62B00"/>
    <w:rsid w:val="00E7195F"/>
    <w:rsid w:val="00E76FA4"/>
    <w:rsid w:val="00E77436"/>
    <w:rsid w:val="00E80FF4"/>
    <w:rsid w:val="00E8167A"/>
    <w:rsid w:val="00E8642F"/>
    <w:rsid w:val="00EA28EF"/>
    <w:rsid w:val="00EB2F37"/>
    <w:rsid w:val="00EB72F5"/>
    <w:rsid w:val="00ED267E"/>
    <w:rsid w:val="00ED62BA"/>
    <w:rsid w:val="00EE2B02"/>
    <w:rsid w:val="00EF6E76"/>
    <w:rsid w:val="00F0692B"/>
    <w:rsid w:val="00F07565"/>
    <w:rsid w:val="00F15EC3"/>
    <w:rsid w:val="00F30A0A"/>
    <w:rsid w:val="00F30E1B"/>
    <w:rsid w:val="00F326B0"/>
    <w:rsid w:val="00F32D0A"/>
    <w:rsid w:val="00F3623A"/>
    <w:rsid w:val="00F3710A"/>
    <w:rsid w:val="00F44ADB"/>
    <w:rsid w:val="00F4781E"/>
    <w:rsid w:val="00F47DE1"/>
    <w:rsid w:val="00F652D9"/>
    <w:rsid w:val="00F66CEF"/>
    <w:rsid w:val="00F8155C"/>
    <w:rsid w:val="00F82206"/>
    <w:rsid w:val="00F85CF5"/>
    <w:rsid w:val="00F9433A"/>
    <w:rsid w:val="00F9490B"/>
    <w:rsid w:val="00F951EA"/>
    <w:rsid w:val="00FA2F7C"/>
    <w:rsid w:val="00FA45C2"/>
    <w:rsid w:val="00FA5C46"/>
    <w:rsid w:val="00FA7969"/>
    <w:rsid w:val="00FB0BCC"/>
    <w:rsid w:val="00FB262A"/>
    <w:rsid w:val="00FC4448"/>
    <w:rsid w:val="00FC4520"/>
    <w:rsid w:val="00FD1D85"/>
    <w:rsid w:val="00FD4C66"/>
    <w:rsid w:val="00FE2454"/>
    <w:rsid w:val="00FE552F"/>
    <w:rsid w:val="00FF60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6B9A9"/>
  <w15:docId w15:val="{76388DBC-3E1A-470F-A7E3-AA1E63434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14C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751812"/>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CF181B"/>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20DD"/>
    <w:pPr>
      <w:ind w:left="720"/>
      <w:contextualSpacing/>
    </w:pPr>
  </w:style>
  <w:style w:type="character" w:styleId="Hyperlink">
    <w:name w:val="Hyperlink"/>
    <w:basedOn w:val="DefaultParagraphFont"/>
    <w:uiPriority w:val="99"/>
    <w:unhideWhenUsed/>
    <w:rsid w:val="00D90E6A"/>
    <w:rPr>
      <w:color w:val="0000FF" w:themeColor="hyperlink"/>
      <w:u w:val="single"/>
    </w:rPr>
  </w:style>
  <w:style w:type="character" w:styleId="Strong">
    <w:name w:val="Strong"/>
    <w:basedOn w:val="DefaultParagraphFont"/>
    <w:uiPriority w:val="22"/>
    <w:qFormat/>
    <w:rsid w:val="00EB2F37"/>
    <w:rPr>
      <w:b/>
      <w:bCs/>
    </w:rPr>
  </w:style>
  <w:style w:type="character" w:customStyle="1" w:styleId="Heading2Char">
    <w:name w:val="Heading 2 Char"/>
    <w:basedOn w:val="DefaultParagraphFont"/>
    <w:link w:val="Heading2"/>
    <w:uiPriority w:val="9"/>
    <w:rsid w:val="00751812"/>
    <w:rPr>
      <w:rFonts w:ascii="Times New Roman" w:eastAsia="Times New Roman" w:hAnsi="Times New Roman" w:cs="Times New Roman"/>
      <w:b/>
      <w:bCs/>
      <w:sz w:val="36"/>
      <w:szCs w:val="36"/>
      <w:lang w:eastAsia="en-GB"/>
    </w:rPr>
  </w:style>
  <w:style w:type="character" w:customStyle="1" w:styleId="apple-converted-space">
    <w:name w:val="apple-converted-space"/>
    <w:basedOn w:val="DefaultParagraphFont"/>
    <w:rsid w:val="00E30A8C"/>
  </w:style>
  <w:style w:type="character" w:customStyle="1" w:styleId="Heading1Char">
    <w:name w:val="Heading 1 Char"/>
    <w:basedOn w:val="DefaultParagraphFont"/>
    <w:link w:val="Heading1"/>
    <w:uiPriority w:val="9"/>
    <w:rsid w:val="00E214C1"/>
    <w:rPr>
      <w:rFonts w:asciiTheme="majorHAnsi" w:eastAsiaTheme="majorEastAsia" w:hAnsiTheme="majorHAnsi" w:cstheme="majorBidi"/>
      <w:b/>
      <w:bCs/>
      <w:color w:val="365F91" w:themeColor="accent1" w:themeShade="BF"/>
      <w:sz w:val="28"/>
      <w:szCs w:val="28"/>
    </w:rPr>
  </w:style>
  <w:style w:type="character" w:styleId="FollowedHyperlink">
    <w:name w:val="FollowedHyperlink"/>
    <w:basedOn w:val="DefaultParagraphFont"/>
    <w:uiPriority w:val="99"/>
    <w:semiHidden/>
    <w:unhideWhenUsed/>
    <w:rsid w:val="00FE552F"/>
    <w:rPr>
      <w:color w:val="800080" w:themeColor="followedHyperlink"/>
      <w:u w:val="single"/>
    </w:rPr>
  </w:style>
  <w:style w:type="character" w:customStyle="1" w:styleId="Heading3Char">
    <w:name w:val="Heading 3 Char"/>
    <w:basedOn w:val="DefaultParagraphFont"/>
    <w:link w:val="Heading3"/>
    <w:uiPriority w:val="9"/>
    <w:semiHidden/>
    <w:rsid w:val="00CF181B"/>
    <w:rPr>
      <w:rFonts w:asciiTheme="majorHAnsi" w:eastAsiaTheme="majorEastAsia" w:hAnsiTheme="majorHAnsi" w:cstheme="majorBidi"/>
      <w:b/>
      <w:bCs/>
      <w:color w:val="4F81BD" w:themeColor="accent1"/>
    </w:rPr>
  </w:style>
  <w:style w:type="character" w:styleId="Emphasis">
    <w:name w:val="Emphasis"/>
    <w:basedOn w:val="DefaultParagraphFont"/>
    <w:uiPriority w:val="20"/>
    <w:qFormat/>
    <w:rsid w:val="009F3940"/>
    <w:rPr>
      <w:i/>
      <w:iCs/>
    </w:rPr>
  </w:style>
  <w:style w:type="numbering" w:customStyle="1" w:styleId="Style1">
    <w:name w:val="Style1"/>
    <w:uiPriority w:val="99"/>
    <w:rsid w:val="00D31783"/>
    <w:pPr>
      <w:numPr>
        <w:numId w:val="5"/>
      </w:numPr>
    </w:pPr>
  </w:style>
  <w:style w:type="paragraph" w:styleId="BalloonText">
    <w:name w:val="Balloon Text"/>
    <w:basedOn w:val="Normal"/>
    <w:link w:val="BalloonTextChar"/>
    <w:uiPriority w:val="99"/>
    <w:semiHidden/>
    <w:unhideWhenUsed/>
    <w:rsid w:val="00C137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3783"/>
    <w:rPr>
      <w:rFonts w:ascii="Tahoma" w:hAnsi="Tahoma" w:cs="Tahoma"/>
      <w:sz w:val="16"/>
      <w:szCs w:val="16"/>
    </w:rPr>
  </w:style>
  <w:style w:type="character" w:styleId="CommentReference">
    <w:name w:val="annotation reference"/>
    <w:basedOn w:val="DefaultParagraphFont"/>
    <w:uiPriority w:val="99"/>
    <w:unhideWhenUsed/>
    <w:rsid w:val="00EA28EF"/>
    <w:rPr>
      <w:sz w:val="16"/>
      <w:szCs w:val="16"/>
    </w:rPr>
  </w:style>
  <w:style w:type="paragraph" w:styleId="CommentText">
    <w:name w:val="annotation text"/>
    <w:basedOn w:val="Normal"/>
    <w:link w:val="CommentTextChar"/>
    <w:unhideWhenUsed/>
    <w:rsid w:val="00EA28EF"/>
    <w:pPr>
      <w:spacing w:line="240" w:lineRule="auto"/>
    </w:pPr>
    <w:rPr>
      <w:sz w:val="20"/>
      <w:szCs w:val="20"/>
    </w:rPr>
  </w:style>
  <w:style w:type="character" w:customStyle="1" w:styleId="CommentTextChar">
    <w:name w:val="Comment Text Char"/>
    <w:basedOn w:val="DefaultParagraphFont"/>
    <w:link w:val="CommentText"/>
    <w:rsid w:val="00EA28EF"/>
    <w:rPr>
      <w:sz w:val="20"/>
      <w:szCs w:val="20"/>
    </w:rPr>
  </w:style>
  <w:style w:type="paragraph" w:styleId="CommentSubject">
    <w:name w:val="annotation subject"/>
    <w:basedOn w:val="CommentText"/>
    <w:next w:val="CommentText"/>
    <w:link w:val="CommentSubjectChar"/>
    <w:uiPriority w:val="99"/>
    <w:semiHidden/>
    <w:unhideWhenUsed/>
    <w:rsid w:val="00EA28EF"/>
    <w:rPr>
      <w:b/>
      <w:bCs/>
    </w:rPr>
  </w:style>
  <w:style w:type="character" w:customStyle="1" w:styleId="CommentSubjectChar">
    <w:name w:val="Comment Subject Char"/>
    <w:basedOn w:val="CommentTextChar"/>
    <w:link w:val="CommentSubject"/>
    <w:uiPriority w:val="99"/>
    <w:semiHidden/>
    <w:rsid w:val="00EA28EF"/>
    <w:rPr>
      <w:b/>
      <w:bCs/>
      <w:sz w:val="20"/>
      <w:szCs w:val="20"/>
    </w:rPr>
  </w:style>
  <w:style w:type="paragraph" w:styleId="PlainText">
    <w:name w:val="Plain Text"/>
    <w:basedOn w:val="Normal"/>
    <w:link w:val="PlainTextChar"/>
    <w:uiPriority w:val="99"/>
    <w:unhideWhenUsed/>
    <w:rsid w:val="00D14516"/>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D14516"/>
    <w:rPr>
      <w:rFonts w:ascii="Calibri" w:hAnsi="Calibri" w:cs="Consolas"/>
      <w:szCs w:val="21"/>
    </w:rPr>
  </w:style>
  <w:style w:type="paragraph" w:styleId="FootnoteText">
    <w:name w:val="footnote text"/>
    <w:basedOn w:val="Normal"/>
    <w:link w:val="FootnoteTextChar"/>
    <w:unhideWhenUsed/>
    <w:rsid w:val="0082785E"/>
    <w:pPr>
      <w:spacing w:after="0" w:line="240" w:lineRule="auto"/>
    </w:pPr>
    <w:rPr>
      <w:sz w:val="20"/>
      <w:szCs w:val="20"/>
    </w:rPr>
  </w:style>
  <w:style w:type="character" w:customStyle="1" w:styleId="FootnoteTextChar">
    <w:name w:val="Footnote Text Char"/>
    <w:basedOn w:val="DefaultParagraphFont"/>
    <w:link w:val="FootnoteText"/>
    <w:rsid w:val="0082785E"/>
    <w:rPr>
      <w:sz w:val="20"/>
      <w:szCs w:val="20"/>
    </w:rPr>
  </w:style>
  <w:style w:type="character" w:styleId="FootnoteReference">
    <w:name w:val="footnote reference"/>
    <w:aliases w:val="BVI fnr"/>
    <w:basedOn w:val="DefaultParagraphFont"/>
    <w:unhideWhenUsed/>
    <w:rsid w:val="0082785E"/>
    <w:rPr>
      <w:vertAlign w:val="superscript"/>
    </w:rPr>
  </w:style>
  <w:style w:type="paragraph" w:customStyle="1" w:styleId="style5">
    <w:name w:val="style5"/>
    <w:basedOn w:val="Normal"/>
    <w:rsid w:val="00753242"/>
    <w:pPr>
      <w:spacing w:before="100" w:beforeAutospacing="1" w:after="100" w:afterAutospacing="1" w:line="240" w:lineRule="auto"/>
    </w:pPr>
    <w:rPr>
      <w:rFonts w:ascii="Times New Roman" w:eastAsia="Times New Roman" w:hAnsi="Times New Roman" w:cs="Times New Roman"/>
      <w:color w:val="006633"/>
      <w:sz w:val="24"/>
      <w:szCs w:val="24"/>
      <w:lang w:eastAsia="en-GB"/>
    </w:rPr>
  </w:style>
  <w:style w:type="paragraph" w:customStyle="1" w:styleId="style6">
    <w:name w:val="style6"/>
    <w:basedOn w:val="Normal"/>
    <w:rsid w:val="00753242"/>
    <w:pPr>
      <w:spacing w:before="100" w:beforeAutospacing="1" w:after="100" w:afterAutospacing="1" w:line="240" w:lineRule="auto"/>
    </w:pPr>
    <w:rPr>
      <w:rFonts w:ascii="Times New Roman" w:eastAsia="Times New Roman" w:hAnsi="Times New Roman" w:cs="Times New Roman"/>
      <w:color w:val="006633"/>
      <w:sz w:val="20"/>
      <w:szCs w:val="20"/>
      <w:lang w:eastAsia="en-GB"/>
    </w:rPr>
  </w:style>
  <w:style w:type="paragraph" w:styleId="NormalWeb">
    <w:name w:val="Normal (Web)"/>
    <w:basedOn w:val="Normal"/>
    <w:uiPriority w:val="99"/>
    <w:unhideWhenUsed/>
    <w:rsid w:val="0075324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51">
    <w:name w:val="style51"/>
    <w:basedOn w:val="DefaultParagraphFont"/>
    <w:rsid w:val="00753242"/>
    <w:rPr>
      <w:color w:val="006633"/>
    </w:rPr>
  </w:style>
  <w:style w:type="character" w:customStyle="1" w:styleId="style21">
    <w:name w:val="style21"/>
    <w:basedOn w:val="DefaultParagraphFont"/>
    <w:rsid w:val="00753242"/>
    <w:rPr>
      <w:b/>
      <w:bCs/>
      <w:sz w:val="24"/>
      <w:szCs w:val="24"/>
    </w:rPr>
  </w:style>
  <w:style w:type="paragraph" w:customStyle="1" w:styleId="style3">
    <w:name w:val="style3"/>
    <w:basedOn w:val="Normal"/>
    <w:rsid w:val="00753242"/>
    <w:pPr>
      <w:spacing w:before="100" w:beforeAutospacing="1" w:after="100" w:afterAutospacing="1" w:line="240" w:lineRule="auto"/>
    </w:pPr>
    <w:rPr>
      <w:rFonts w:ascii="Times New Roman" w:eastAsia="Times New Roman" w:hAnsi="Times New Roman" w:cs="Times New Roman"/>
      <w:b/>
      <w:bCs/>
      <w:color w:val="000066"/>
      <w:sz w:val="24"/>
      <w:szCs w:val="24"/>
      <w:lang w:eastAsia="en-GB"/>
    </w:rPr>
  </w:style>
  <w:style w:type="paragraph" w:styleId="Header">
    <w:name w:val="header"/>
    <w:basedOn w:val="Normal"/>
    <w:link w:val="HeaderChar"/>
    <w:uiPriority w:val="99"/>
    <w:unhideWhenUsed/>
    <w:rsid w:val="00E774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7436"/>
  </w:style>
  <w:style w:type="paragraph" w:styleId="Footer">
    <w:name w:val="footer"/>
    <w:basedOn w:val="Normal"/>
    <w:link w:val="FooterChar"/>
    <w:uiPriority w:val="99"/>
    <w:unhideWhenUsed/>
    <w:rsid w:val="00E774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7436"/>
  </w:style>
  <w:style w:type="paragraph" w:customStyle="1" w:styleId="Default">
    <w:name w:val="Default"/>
    <w:rsid w:val="00937429"/>
    <w:pPr>
      <w:autoSpaceDE w:val="0"/>
      <w:autoSpaceDN w:val="0"/>
      <w:adjustRightInd w:val="0"/>
      <w:spacing w:after="0" w:line="240" w:lineRule="auto"/>
    </w:pPr>
    <w:rPr>
      <w:rFonts w:ascii="Times New Roman" w:hAnsi="Times New Roman" w:cs="Times New Roman"/>
      <w:color w:val="000000"/>
      <w:sz w:val="24"/>
      <w:szCs w:val="24"/>
    </w:rPr>
  </w:style>
  <w:style w:type="paragraph" w:styleId="EndnoteText">
    <w:name w:val="endnote text"/>
    <w:basedOn w:val="Normal"/>
    <w:link w:val="EndnoteTextChar"/>
    <w:uiPriority w:val="99"/>
    <w:semiHidden/>
    <w:unhideWhenUsed/>
    <w:rsid w:val="0093742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37429"/>
    <w:rPr>
      <w:sz w:val="20"/>
      <w:szCs w:val="20"/>
    </w:rPr>
  </w:style>
  <w:style w:type="character" w:styleId="EndnoteReference">
    <w:name w:val="endnote reference"/>
    <w:basedOn w:val="DefaultParagraphFont"/>
    <w:uiPriority w:val="99"/>
    <w:semiHidden/>
    <w:unhideWhenUsed/>
    <w:rsid w:val="00937429"/>
    <w:rPr>
      <w:vertAlign w:val="superscript"/>
    </w:rPr>
  </w:style>
  <w:style w:type="paragraph" w:styleId="Revision">
    <w:name w:val="Revision"/>
    <w:hidden/>
    <w:uiPriority w:val="99"/>
    <w:semiHidden/>
    <w:rsid w:val="00A24FB0"/>
    <w:pPr>
      <w:spacing w:after="0" w:line="240" w:lineRule="auto"/>
    </w:pPr>
  </w:style>
  <w:style w:type="paragraph" w:customStyle="1" w:styleId="Text1">
    <w:name w:val="Text 1"/>
    <w:basedOn w:val="Normal"/>
    <w:rsid w:val="00C5700B"/>
    <w:pPr>
      <w:spacing w:before="120" w:after="120" w:line="240" w:lineRule="auto"/>
      <w:ind w:left="850"/>
      <w:jc w:val="both"/>
    </w:pPr>
    <w:rPr>
      <w:rFonts w:ascii="Times New Roman" w:eastAsia="Times New Roman" w:hAnsi="Times New Roman" w:cs="Times New Roman"/>
      <w:sz w:val="24"/>
      <w:szCs w:val="24"/>
      <w:lang w:eastAsia="de-DE"/>
    </w:rPr>
  </w:style>
  <w:style w:type="character" w:customStyle="1" w:styleId="UnresolvedMention1">
    <w:name w:val="Unresolved Mention1"/>
    <w:basedOn w:val="DefaultParagraphFont"/>
    <w:uiPriority w:val="99"/>
    <w:semiHidden/>
    <w:unhideWhenUsed/>
    <w:rsid w:val="004C1E3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593028">
      <w:bodyDiv w:val="1"/>
      <w:marLeft w:val="0"/>
      <w:marRight w:val="0"/>
      <w:marTop w:val="0"/>
      <w:marBottom w:val="0"/>
      <w:divBdr>
        <w:top w:val="none" w:sz="0" w:space="0" w:color="auto"/>
        <w:left w:val="none" w:sz="0" w:space="0" w:color="auto"/>
        <w:bottom w:val="none" w:sz="0" w:space="0" w:color="auto"/>
        <w:right w:val="none" w:sz="0" w:space="0" w:color="auto"/>
      </w:divBdr>
    </w:div>
    <w:div w:id="326440985">
      <w:bodyDiv w:val="1"/>
      <w:marLeft w:val="0"/>
      <w:marRight w:val="0"/>
      <w:marTop w:val="0"/>
      <w:marBottom w:val="0"/>
      <w:divBdr>
        <w:top w:val="none" w:sz="0" w:space="0" w:color="auto"/>
        <w:left w:val="none" w:sz="0" w:space="0" w:color="auto"/>
        <w:bottom w:val="none" w:sz="0" w:space="0" w:color="auto"/>
        <w:right w:val="none" w:sz="0" w:space="0" w:color="auto"/>
      </w:divBdr>
      <w:divsChild>
        <w:div w:id="1095321170">
          <w:marLeft w:val="0"/>
          <w:marRight w:val="0"/>
          <w:marTop w:val="0"/>
          <w:marBottom w:val="0"/>
          <w:divBdr>
            <w:top w:val="none" w:sz="0" w:space="0" w:color="auto"/>
            <w:left w:val="none" w:sz="0" w:space="0" w:color="auto"/>
            <w:bottom w:val="none" w:sz="0" w:space="0" w:color="auto"/>
            <w:right w:val="none" w:sz="0" w:space="0" w:color="auto"/>
          </w:divBdr>
        </w:div>
        <w:div w:id="1658457790">
          <w:marLeft w:val="0"/>
          <w:marRight w:val="0"/>
          <w:marTop w:val="0"/>
          <w:marBottom w:val="0"/>
          <w:divBdr>
            <w:top w:val="none" w:sz="0" w:space="0" w:color="auto"/>
            <w:left w:val="none" w:sz="0" w:space="0" w:color="auto"/>
            <w:bottom w:val="none" w:sz="0" w:space="0" w:color="auto"/>
            <w:right w:val="none" w:sz="0" w:space="0" w:color="auto"/>
          </w:divBdr>
        </w:div>
        <w:div w:id="571504065">
          <w:marLeft w:val="0"/>
          <w:marRight w:val="0"/>
          <w:marTop w:val="0"/>
          <w:marBottom w:val="0"/>
          <w:divBdr>
            <w:top w:val="none" w:sz="0" w:space="0" w:color="auto"/>
            <w:left w:val="none" w:sz="0" w:space="0" w:color="auto"/>
            <w:bottom w:val="none" w:sz="0" w:space="0" w:color="auto"/>
            <w:right w:val="none" w:sz="0" w:space="0" w:color="auto"/>
          </w:divBdr>
        </w:div>
      </w:divsChild>
    </w:div>
    <w:div w:id="327903429">
      <w:bodyDiv w:val="1"/>
      <w:marLeft w:val="0"/>
      <w:marRight w:val="0"/>
      <w:marTop w:val="0"/>
      <w:marBottom w:val="0"/>
      <w:divBdr>
        <w:top w:val="none" w:sz="0" w:space="0" w:color="auto"/>
        <w:left w:val="none" w:sz="0" w:space="0" w:color="auto"/>
        <w:bottom w:val="none" w:sz="0" w:space="0" w:color="auto"/>
        <w:right w:val="none" w:sz="0" w:space="0" w:color="auto"/>
      </w:divBdr>
    </w:div>
    <w:div w:id="512380750">
      <w:bodyDiv w:val="1"/>
      <w:marLeft w:val="0"/>
      <w:marRight w:val="0"/>
      <w:marTop w:val="0"/>
      <w:marBottom w:val="0"/>
      <w:divBdr>
        <w:top w:val="none" w:sz="0" w:space="0" w:color="auto"/>
        <w:left w:val="none" w:sz="0" w:space="0" w:color="auto"/>
        <w:bottom w:val="none" w:sz="0" w:space="0" w:color="auto"/>
        <w:right w:val="none" w:sz="0" w:space="0" w:color="auto"/>
      </w:divBdr>
    </w:div>
    <w:div w:id="633946273">
      <w:bodyDiv w:val="1"/>
      <w:marLeft w:val="0"/>
      <w:marRight w:val="0"/>
      <w:marTop w:val="0"/>
      <w:marBottom w:val="0"/>
      <w:divBdr>
        <w:top w:val="none" w:sz="0" w:space="0" w:color="auto"/>
        <w:left w:val="none" w:sz="0" w:space="0" w:color="auto"/>
        <w:bottom w:val="none" w:sz="0" w:space="0" w:color="auto"/>
        <w:right w:val="none" w:sz="0" w:space="0" w:color="auto"/>
      </w:divBdr>
    </w:div>
    <w:div w:id="676735107">
      <w:bodyDiv w:val="1"/>
      <w:marLeft w:val="0"/>
      <w:marRight w:val="0"/>
      <w:marTop w:val="0"/>
      <w:marBottom w:val="0"/>
      <w:divBdr>
        <w:top w:val="none" w:sz="0" w:space="0" w:color="auto"/>
        <w:left w:val="none" w:sz="0" w:space="0" w:color="auto"/>
        <w:bottom w:val="none" w:sz="0" w:space="0" w:color="auto"/>
        <w:right w:val="none" w:sz="0" w:space="0" w:color="auto"/>
      </w:divBdr>
    </w:div>
    <w:div w:id="686949823">
      <w:bodyDiv w:val="1"/>
      <w:marLeft w:val="0"/>
      <w:marRight w:val="0"/>
      <w:marTop w:val="0"/>
      <w:marBottom w:val="0"/>
      <w:divBdr>
        <w:top w:val="none" w:sz="0" w:space="0" w:color="auto"/>
        <w:left w:val="none" w:sz="0" w:space="0" w:color="auto"/>
        <w:bottom w:val="none" w:sz="0" w:space="0" w:color="auto"/>
        <w:right w:val="none" w:sz="0" w:space="0" w:color="auto"/>
      </w:divBdr>
    </w:div>
    <w:div w:id="746456904">
      <w:bodyDiv w:val="1"/>
      <w:marLeft w:val="0"/>
      <w:marRight w:val="0"/>
      <w:marTop w:val="0"/>
      <w:marBottom w:val="0"/>
      <w:divBdr>
        <w:top w:val="none" w:sz="0" w:space="0" w:color="auto"/>
        <w:left w:val="none" w:sz="0" w:space="0" w:color="auto"/>
        <w:bottom w:val="none" w:sz="0" w:space="0" w:color="auto"/>
        <w:right w:val="none" w:sz="0" w:space="0" w:color="auto"/>
      </w:divBdr>
    </w:div>
    <w:div w:id="771781588">
      <w:bodyDiv w:val="1"/>
      <w:marLeft w:val="0"/>
      <w:marRight w:val="0"/>
      <w:marTop w:val="0"/>
      <w:marBottom w:val="0"/>
      <w:divBdr>
        <w:top w:val="none" w:sz="0" w:space="0" w:color="auto"/>
        <w:left w:val="none" w:sz="0" w:space="0" w:color="auto"/>
        <w:bottom w:val="none" w:sz="0" w:space="0" w:color="auto"/>
        <w:right w:val="none" w:sz="0" w:space="0" w:color="auto"/>
      </w:divBdr>
    </w:div>
    <w:div w:id="836992989">
      <w:bodyDiv w:val="1"/>
      <w:marLeft w:val="0"/>
      <w:marRight w:val="0"/>
      <w:marTop w:val="0"/>
      <w:marBottom w:val="0"/>
      <w:divBdr>
        <w:top w:val="none" w:sz="0" w:space="0" w:color="auto"/>
        <w:left w:val="none" w:sz="0" w:space="0" w:color="auto"/>
        <w:bottom w:val="none" w:sz="0" w:space="0" w:color="auto"/>
        <w:right w:val="none" w:sz="0" w:space="0" w:color="auto"/>
      </w:divBdr>
    </w:div>
    <w:div w:id="837963756">
      <w:bodyDiv w:val="1"/>
      <w:marLeft w:val="0"/>
      <w:marRight w:val="0"/>
      <w:marTop w:val="0"/>
      <w:marBottom w:val="0"/>
      <w:divBdr>
        <w:top w:val="none" w:sz="0" w:space="0" w:color="auto"/>
        <w:left w:val="none" w:sz="0" w:space="0" w:color="auto"/>
        <w:bottom w:val="none" w:sz="0" w:space="0" w:color="auto"/>
        <w:right w:val="none" w:sz="0" w:space="0" w:color="auto"/>
      </w:divBdr>
    </w:div>
    <w:div w:id="933778458">
      <w:bodyDiv w:val="1"/>
      <w:marLeft w:val="0"/>
      <w:marRight w:val="0"/>
      <w:marTop w:val="0"/>
      <w:marBottom w:val="0"/>
      <w:divBdr>
        <w:top w:val="none" w:sz="0" w:space="0" w:color="auto"/>
        <w:left w:val="none" w:sz="0" w:space="0" w:color="auto"/>
        <w:bottom w:val="none" w:sz="0" w:space="0" w:color="auto"/>
        <w:right w:val="none" w:sz="0" w:space="0" w:color="auto"/>
      </w:divBdr>
    </w:div>
    <w:div w:id="1096635249">
      <w:bodyDiv w:val="1"/>
      <w:marLeft w:val="0"/>
      <w:marRight w:val="0"/>
      <w:marTop w:val="0"/>
      <w:marBottom w:val="0"/>
      <w:divBdr>
        <w:top w:val="none" w:sz="0" w:space="0" w:color="auto"/>
        <w:left w:val="none" w:sz="0" w:space="0" w:color="auto"/>
        <w:bottom w:val="none" w:sz="0" w:space="0" w:color="auto"/>
        <w:right w:val="none" w:sz="0" w:space="0" w:color="auto"/>
      </w:divBdr>
      <w:divsChild>
        <w:div w:id="1720740779">
          <w:marLeft w:val="0"/>
          <w:marRight w:val="0"/>
          <w:marTop w:val="0"/>
          <w:marBottom w:val="0"/>
          <w:divBdr>
            <w:top w:val="none" w:sz="0" w:space="0" w:color="auto"/>
            <w:left w:val="none" w:sz="0" w:space="0" w:color="auto"/>
            <w:bottom w:val="none" w:sz="0" w:space="0" w:color="auto"/>
            <w:right w:val="none" w:sz="0" w:space="0" w:color="auto"/>
          </w:divBdr>
        </w:div>
        <w:div w:id="827326929">
          <w:marLeft w:val="0"/>
          <w:marRight w:val="0"/>
          <w:marTop w:val="0"/>
          <w:marBottom w:val="0"/>
          <w:divBdr>
            <w:top w:val="none" w:sz="0" w:space="0" w:color="auto"/>
            <w:left w:val="none" w:sz="0" w:space="0" w:color="auto"/>
            <w:bottom w:val="none" w:sz="0" w:space="0" w:color="auto"/>
            <w:right w:val="none" w:sz="0" w:space="0" w:color="auto"/>
          </w:divBdr>
        </w:div>
      </w:divsChild>
    </w:div>
    <w:div w:id="1194272440">
      <w:bodyDiv w:val="1"/>
      <w:marLeft w:val="0"/>
      <w:marRight w:val="0"/>
      <w:marTop w:val="0"/>
      <w:marBottom w:val="0"/>
      <w:divBdr>
        <w:top w:val="none" w:sz="0" w:space="0" w:color="auto"/>
        <w:left w:val="none" w:sz="0" w:space="0" w:color="auto"/>
        <w:bottom w:val="none" w:sz="0" w:space="0" w:color="auto"/>
        <w:right w:val="none" w:sz="0" w:space="0" w:color="auto"/>
      </w:divBdr>
    </w:div>
    <w:div w:id="1217161789">
      <w:bodyDiv w:val="1"/>
      <w:marLeft w:val="0"/>
      <w:marRight w:val="0"/>
      <w:marTop w:val="0"/>
      <w:marBottom w:val="0"/>
      <w:divBdr>
        <w:top w:val="none" w:sz="0" w:space="0" w:color="auto"/>
        <w:left w:val="none" w:sz="0" w:space="0" w:color="auto"/>
        <w:bottom w:val="none" w:sz="0" w:space="0" w:color="auto"/>
        <w:right w:val="none" w:sz="0" w:space="0" w:color="auto"/>
      </w:divBdr>
    </w:div>
    <w:div w:id="1306736227">
      <w:bodyDiv w:val="1"/>
      <w:marLeft w:val="0"/>
      <w:marRight w:val="0"/>
      <w:marTop w:val="0"/>
      <w:marBottom w:val="0"/>
      <w:divBdr>
        <w:top w:val="none" w:sz="0" w:space="0" w:color="auto"/>
        <w:left w:val="none" w:sz="0" w:space="0" w:color="auto"/>
        <w:bottom w:val="none" w:sz="0" w:space="0" w:color="auto"/>
        <w:right w:val="none" w:sz="0" w:space="0" w:color="auto"/>
      </w:divBdr>
    </w:div>
    <w:div w:id="1342006746">
      <w:bodyDiv w:val="1"/>
      <w:marLeft w:val="0"/>
      <w:marRight w:val="0"/>
      <w:marTop w:val="0"/>
      <w:marBottom w:val="0"/>
      <w:divBdr>
        <w:top w:val="none" w:sz="0" w:space="0" w:color="auto"/>
        <w:left w:val="none" w:sz="0" w:space="0" w:color="auto"/>
        <w:bottom w:val="none" w:sz="0" w:space="0" w:color="auto"/>
        <w:right w:val="none" w:sz="0" w:space="0" w:color="auto"/>
      </w:divBdr>
    </w:div>
    <w:div w:id="1355424248">
      <w:bodyDiv w:val="1"/>
      <w:marLeft w:val="0"/>
      <w:marRight w:val="0"/>
      <w:marTop w:val="0"/>
      <w:marBottom w:val="0"/>
      <w:divBdr>
        <w:top w:val="none" w:sz="0" w:space="0" w:color="auto"/>
        <w:left w:val="none" w:sz="0" w:space="0" w:color="auto"/>
        <w:bottom w:val="none" w:sz="0" w:space="0" w:color="auto"/>
        <w:right w:val="none" w:sz="0" w:space="0" w:color="auto"/>
      </w:divBdr>
    </w:div>
    <w:div w:id="1375692675">
      <w:bodyDiv w:val="1"/>
      <w:marLeft w:val="0"/>
      <w:marRight w:val="0"/>
      <w:marTop w:val="0"/>
      <w:marBottom w:val="0"/>
      <w:divBdr>
        <w:top w:val="none" w:sz="0" w:space="0" w:color="auto"/>
        <w:left w:val="none" w:sz="0" w:space="0" w:color="auto"/>
        <w:bottom w:val="none" w:sz="0" w:space="0" w:color="auto"/>
        <w:right w:val="none" w:sz="0" w:space="0" w:color="auto"/>
      </w:divBdr>
    </w:div>
    <w:div w:id="1381787261">
      <w:bodyDiv w:val="1"/>
      <w:marLeft w:val="0"/>
      <w:marRight w:val="0"/>
      <w:marTop w:val="0"/>
      <w:marBottom w:val="0"/>
      <w:divBdr>
        <w:top w:val="none" w:sz="0" w:space="0" w:color="auto"/>
        <w:left w:val="none" w:sz="0" w:space="0" w:color="auto"/>
        <w:bottom w:val="none" w:sz="0" w:space="0" w:color="auto"/>
        <w:right w:val="none" w:sz="0" w:space="0" w:color="auto"/>
      </w:divBdr>
    </w:div>
    <w:div w:id="1394738061">
      <w:bodyDiv w:val="1"/>
      <w:marLeft w:val="0"/>
      <w:marRight w:val="0"/>
      <w:marTop w:val="0"/>
      <w:marBottom w:val="0"/>
      <w:divBdr>
        <w:top w:val="none" w:sz="0" w:space="0" w:color="auto"/>
        <w:left w:val="none" w:sz="0" w:space="0" w:color="auto"/>
        <w:bottom w:val="none" w:sz="0" w:space="0" w:color="auto"/>
        <w:right w:val="none" w:sz="0" w:space="0" w:color="auto"/>
      </w:divBdr>
    </w:div>
    <w:div w:id="1415199492">
      <w:bodyDiv w:val="1"/>
      <w:marLeft w:val="0"/>
      <w:marRight w:val="0"/>
      <w:marTop w:val="0"/>
      <w:marBottom w:val="0"/>
      <w:divBdr>
        <w:top w:val="none" w:sz="0" w:space="0" w:color="auto"/>
        <w:left w:val="none" w:sz="0" w:space="0" w:color="auto"/>
        <w:bottom w:val="none" w:sz="0" w:space="0" w:color="auto"/>
        <w:right w:val="none" w:sz="0" w:space="0" w:color="auto"/>
      </w:divBdr>
    </w:div>
    <w:div w:id="1444961773">
      <w:bodyDiv w:val="1"/>
      <w:marLeft w:val="0"/>
      <w:marRight w:val="0"/>
      <w:marTop w:val="0"/>
      <w:marBottom w:val="0"/>
      <w:divBdr>
        <w:top w:val="none" w:sz="0" w:space="0" w:color="auto"/>
        <w:left w:val="none" w:sz="0" w:space="0" w:color="auto"/>
        <w:bottom w:val="none" w:sz="0" w:space="0" w:color="auto"/>
        <w:right w:val="none" w:sz="0" w:space="0" w:color="auto"/>
      </w:divBdr>
    </w:div>
    <w:div w:id="1467360365">
      <w:bodyDiv w:val="1"/>
      <w:marLeft w:val="0"/>
      <w:marRight w:val="0"/>
      <w:marTop w:val="0"/>
      <w:marBottom w:val="0"/>
      <w:divBdr>
        <w:top w:val="none" w:sz="0" w:space="0" w:color="auto"/>
        <w:left w:val="none" w:sz="0" w:space="0" w:color="auto"/>
        <w:bottom w:val="none" w:sz="0" w:space="0" w:color="auto"/>
        <w:right w:val="none" w:sz="0" w:space="0" w:color="auto"/>
      </w:divBdr>
    </w:div>
    <w:div w:id="1489978565">
      <w:bodyDiv w:val="1"/>
      <w:marLeft w:val="0"/>
      <w:marRight w:val="0"/>
      <w:marTop w:val="0"/>
      <w:marBottom w:val="0"/>
      <w:divBdr>
        <w:top w:val="none" w:sz="0" w:space="0" w:color="auto"/>
        <w:left w:val="none" w:sz="0" w:space="0" w:color="auto"/>
        <w:bottom w:val="none" w:sz="0" w:space="0" w:color="auto"/>
        <w:right w:val="none" w:sz="0" w:space="0" w:color="auto"/>
      </w:divBdr>
    </w:div>
    <w:div w:id="1492477902">
      <w:bodyDiv w:val="1"/>
      <w:marLeft w:val="0"/>
      <w:marRight w:val="0"/>
      <w:marTop w:val="0"/>
      <w:marBottom w:val="0"/>
      <w:divBdr>
        <w:top w:val="none" w:sz="0" w:space="0" w:color="auto"/>
        <w:left w:val="none" w:sz="0" w:space="0" w:color="auto"/>
        <w:bottom w:val="none" w:sz="0" w:space="0" w:color="auto"/>
        <w:right w:val="none" w:sz="0" w:space="0" w:color="auto"/>
      </w:divBdr>
    </w:div>
    <w:div w:id="1513107805">
      <w:bodyDiv w:val="1"/>
      <w:marLeft w:val="0"/>
      <w:marRight w:val="0"/>
      <w:marTop w:val="0"/>
      <w:marBottom w:val="0"/>
      <w:divBdr>
        <w:top w:val="none" w:sz="0" w:space="0" w:color="auto"/>
        <w:left w:val="none" w:sz="0" w:space="0" w:color="auto"/>
        <w:bottom w:val="none" w:sz="0" w:space="0" w:color="auto"/>
        <w:right w:val="none" w:sz="0" w:space="0" w:color="auto"/>
      </w:divBdr>
      <w:divsChild>
        <w:div w:id="378476268">
          <w:marLeft w:val="0"/>
          <w:marRight w:val="0"/>
          <w:marTop w:val="0"/>
          <w:marBottom w:val="0"/>
          <w:divBdr>
            <w:top w:val="none" w:sz="0" w:space="0" w:color="auto"/>
            <w:left w:val="none" w:sz="0" w:space="0" w:color="auto"/>
            <w:bottom w:val="none" w:sz="0" w:space="0" w:color="auto"/>
            <w:right w:val="none" w:sz="0" w:space="0" w:color="auto"/>
          </w:divBdr>
        </w:div>
        <w:div w:id="1857496714">
          <w:marLeft w:val="0"/>
          <w:marRight w:val="0"/>
          <w:marTop w:val="0"/>
          <w:marBottom w:val="0"/>
          <w:divBdr>
            <w:top w:val="none" w:sz="0" w:space="0" w:color="auto"/>
            <w:left w:val="none" w:sz="0" w:space="0" w:color="auto"/>
            <w:bottom w:val="none" w:sz="0" w:space="0" w:color="auto"/>
            <w:right w:val="none" w:sz="0" w:space="0" w:color="auto"/>
          </w:divBdr>
        </w:div>
        <w:div w:id="98842908">
          <w:marLeft w:val="0"/>
          <w:marRight w:val="0"/>
          <w:marTop w:val="0"/>
          <w:marBottom w:val="0"/>
          <w:divBdr>
            <w:top w:val="none" w:sz="0" w:space="0" w:color="auto"/>
            <w:left w:val="none" w:sz="0" w:space="0" w:color="auto"/>
            <w:bottom w:val="none" w:sz="0" w:space="0" w:color="auto"/>
            <w:right w:val="none" w:sz="0" w:space="0" w:color="auto"/>
          </w:divBdr>
        </w:div>
        <w:div w:id="1897741918">
          <w:marLeft w:val="0"/>
          <w:marRight w:val="0"/>
          <w:marTop w:val="0"/>
          <w:marBottom w:val="0"/>
          <w:divBdr>
            <w:top w:val="none" w:sz="0" w:space="0" w:color="auto"/>
            <w:left w:val="none" w:sz="0" w:space="0" w:color="auto"/>
            <w:bottom w:val="none" w:sz="0" w:space="0" w:color="auto"/>
            <w:right w:val="none" w:sz="0" w:space="0" w:color="auto"/>
          </w:divBdr>
        </w:div>
        <w:div w:id="889195470">
          <w:marLeft w:val="0"/>
          <w:marRight w:val="0"/>
          <w:marTop w:val="0"/>
          <w:marBottom w:val="0"/>
          <w:divBdr>
            <w:top w:val="none" w:sz="0" w:space="0" w:color="auto"/>
            <w:left w:val="none" w:sz="0" w:space="0" w:color="auto"/>
            <w:bottom w:val="none" w:sz="0" w:space="0" w:color="auto"/>
            <w:right w:val="none" w:sz="0" w:space="0" w:color="auto"/>
          </w:divBdr>
        </w:div>
      </w:divsChild>
    </w:div>
    <w:div w:id="1527521399">
      <w:bodyDiv w:val="1"/>
      <w:marLeft w:val="0"/>
      <w:marRight w:val="0"/>
      <w:marTop w:val="0"/>
      <w:marBottom w:val="0"/>
      <w:divBdr>
        <w:top w:val="none" w:sz="0" w:space="0" w:color="auto"/>
        <w:left w:val="none" w:sz="0" w:space="0" w:color="auto"/>
        <w:bottom w:val="none" w:sz="0" w:space="0" w:color="auto"/>
        <w:right w:val="none" w:sz="0" w:space="0" w:color="auto"/>
      </w:divBdr>
    </w:div>
    <w:div w:id="1674255339">
      <w:bodyDiv w:val="1"/>
      <w:marLeft w:val="0"/>
      <w:marRight w:val="0"/>
      <w:marTop w:val="0"/>
      <w:marBottom w:val="0"/>
      <w:divBdr>
        <w:top w:val="none" w:sz="0" w:space="0" w:color="auto"/>
        <w:left w:val="none" w:sz="0" w:space="0" w:color="auto"/>
        <w:bottom w:val="none" w:sz="0" w:space="0" w:color="auto"/>
        <w:right w:val="none" w:sz="0" w:space="0" w:color="auto"/>
      </w:divBdr>
    </w:div>
    <w:div w:id="1679960365">
      <w:bodyDiv w:val="1"/>
      <w:marLeft w:val="0"/>
      <w:marRight w:val="0"/>
      <w:marTop w:val="0"/>
      <w:marBottom w:val="0"/>
      <w:divBdr>
        <w:top w:val="none" w:sz="0" w:space="0" w:color="auto"/>
        <w:left w:val="none" w:sz="0" w:space="0" w:color="auto"/>
        <w:bottom w:val="none" w:sz="0" w:space="0" w:color="auto"/>
        <w:right w:val="none" w:sz="0" w:space="0" w:color="auto"/>
      </w:divBdr>
    </w:div>
    <w:div w:id="1771270791">
      <w:bodyDiv w:val="1"/>
      <w:marLeft w:val="0"/>
      <w:marRight w:val="0"/>
      <w:marTop w:val="0"/>
      <w:marBottom w:val="0"/>
      <w:divBdr>
        <w:top w:val="none" w:sz="0" w:space="0" w:color="auto"/>
        <w:left w:val="none" w:sz="0" w:space="0" w:color="auto"/>
        <w:bottom w:val="none" w:sz="0" w:space="0" w:color="auto"/>
        <w:right w:val="none" w:sz="0" w:space="0" w:color="auto"/>
      </w:divBdr>
    </w:div>
    <w:div w:id="1861314935">
      <w:bodyDiv w:val="1"/>
      <w:marLeft w:val="0"/>
      <w:marRight w:val="0"/>
      <w:marTop w:val="0"/>
      <w:marBottom w:val="0"/>
      <w:divBdr>
        <w:top w:val="none" w:sz="0" w:space="0" w:color="auto"/>
        <w:left w:val="none" w:sz="0" w:space="0" w:color="auto"/>
        <w:bottom w:val="none" w:sz="0" w:space="0" w:color="auto"/>
        <w:right w:val="none" w:sz="0" w:space="0" w:color="auto"/>
      </w:divBdr>
    </w:div>
    <w:div w:id="1963802248">
      <w:bodyDiv w:val="1"/>
      <w:marLeft w:val="0"/>
      <w:marRight w:val="0"/>
      <w:marTop w:val="0"/>
      <w:marBottom w:val="0"/>
      <w:divBdr>
        <w:top w:val="none" w:sz="0" w:space="0" w:color="auto"/>
        <w:left w:val="none" w:sz="0" w:space="0" w:color="auto"/>
        <w:bottom w:val="none" w:sz="0" w:space="0" w:color="auto"/>
        <w:right w:val="none" w:sz="0" w:space="0" w:color="auto"/>
      </w:divBdr>
    </w:div>
    <w:div w:id="1989937520">
      <w:bodyDiv w:val="1"/>
      <w:marLeft w:val="0"/>
      <w:marRight w:val="0"/>
      <w:marTop w:val="0"/>
      <w:marBottom w:val="0"/>
      <w:divBdr>
        <w:top w:val="none" w:sz="0" w:space="0" w:color="auto"/>
        <w:left w:val="none" w:sz="0" w:space="0" w:color="auto"/>
        <w:bottom w:val="none" w:sz="0" w:space="0" w:color="auto"/>
        <w:right w:val="none" w:sz="0" w:space="0" w:color="auto"/>
      </w:divBdr>
      <w:divsChild>
        <w:div w:id="942105777">
          <w:marLeft w:val="0"/>
          <w:marRight w:val="0"/>
          <w:marTop w:val="0"/>
          <w:marBottom w:val="0"/>
          <w:divBdr>
            <w:top w:val="none" w:sz="0" w:space="0" w:color="auto"/>
            <w:left w:val="none" w:sz="0" w:space="0" w:color="auto"/>
            <w:bottom w:val="none" w:sz="0" w:space="0" w:color="auto"/>
            <w:right w:val="none" w:sz="0" w:space="0" w:color="auto"/>
          </w:divBdr>
        </w:div>
        <w:div w:id="156649133">
          <w:marLeft w:val="0"/>
          <w:marRight w:val="0"/>
          <w:marTop w:val="0"/>
          <w:marBottom w:val="0"/>
          <w:divBdr>
            <w:top w:val="none" w:sz="0" w:space="0" w:color="auto"/>
            <w:left w:val="none" w:sz="0" w:space="0" w:color="auto"/>
            <w:bottom w:val="none" w:sz="0" w:space="0" w:color="auto"/>
            <w:right w:val="none" w:sz="0" w:space="0" w:color="auto"/>
          </w:divBdr>
        </w:div>
      </w:divsChild>
    </w:div>
    <w:div w:id="2039961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unep-aewa.org/en/document/unepcms-resolution-1115-preventing-poisoning-migratory-birds-0" TargetMode="External"/><Relationship Id="rId2" Type="http://schemas.openxmlformats.org/officeDocument/2006/relationships/hyperlink" Target="https://echa.europa.eu/registry-of-restriction-intentions/-/dislist/details/0b0236e180c0ac38" TargetMode="External"/><Relationship Id="rId1" Type="http://schemas.openxmlformats.org/officeDocument/2006/relationships/hyperlink" Target="https://echa.europa.eu/documents/10162/07e05943-ee0a-20e1-2946-9c656499c8f8" TargetMode="External"/><Relationship Id="rId6" Type="http://schemas.openxmlformats.org/officeDocument/2006/relationships/hyperlink" Target="https://echa.europa.eu/registry-of-restriction-intentions/-/dislist/details/0b0236e1840159e6" TargetMode="External"/><Relationship Id="rId5" Type="http://schemas.openxmlformats.org/officeDocument/2006/relationships/hyperlink" Target="https://echa.europa.eu/documents/10162/13641/lead_ammunition_investigation_report_en.pdf" TargetMode="External"/><Relationship Id="rId4" Type="http://schemas.openxmlformats.org/officeDocument/2006/relationships/hyperlink" Target="http://www.unep-aewa.org/en/document/unepcms-resolution-1115-preventing-poisoning-migratory-bird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78A2A6-EE39-4C0C-9021-27E8A524C8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362</Words>
  <Characters>2940</Characters>
  <Application>Microsoft Office Word</Application>
  <DocSecurity>0</DocSecurity>
  <Lines>24</Lines>
  <Paragraphs>6</Paragraphs>
  <ScaleCrop>false</ScaleCrop>
  <HeadingPairs>
    <vt:vector size="4" baseType="variant">
      <vt:variant>
        <vt:lpstr>Title</vt:lpstr>
      </vt:variant>
      <vt:variant>
        <vt:i4>1</vt:i4>
      </vt:variant>
      <vt:variant>
        <vt:lpstr>Otsikko</vt:lpstr>
      </vt:variant>
      <vt:variant>
        <vt:i4>1</vt:i4>
      </vt:variant>
    </vt:vector>
  </HeadingPairs>
  <TitlesOfParts>
    <vt:vector size="2" baseType="lpstr">
      <vt:lpstr/>
      <vt:lpstr/>
    </vt:vector>
  </TitlesOfParts>
  <Company>Birdlife International</Company>
  <LinksUpToDate>false</LinksUpToDate>
  <CharactersWithSpaces>3296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Mikko Pesonen</cp:lastModifiedBy>
  <cp:revision>2</cp:revision>
  <cp:lastPrinted>2018-05-07T18:02:00Z</cp:lastPrinted>
  <dcterms:created xsi:type="dcterms:W3CDTF">2020-05-04T17:59:00Z</dcterms:created>
  <dcterms:modified xsi:type="dcterms:W3CDTF">2020-05-04T17:59:00Z</dcterms:modified>
</cp:coreProperties>
</file>